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519" w:rsidRDefault="00A60519" w:rsidP="00A60519">
      <w:pPr>
        <w:spacing w:after="0" w:line="360" w:lineRule="auto"/>
        <w:jc w:val="center"/>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Prevalensi, Karakteristik dan Faktor Resiko Prediabetes di wilayah pesisir, pegunungan dan perkotaan </w:t>
      </w:r>
    </w:p>
    <w:p w:rsidR="00A60519" w:rsidRDefault="00A60519" w:rsidP="00A60519">
      <w:pPr>
        <w:ind w:left="2160" w:firstLine="720"/>
        <w:rPr>
          <w:rFonts w:eastAsia="Times New Roman"/>
          <w:b/>
          <w:bCs/>
          <w:vertAlign w:val="superscript"/>
          <w:lang w:eastAsia="id-ID"/>
        </w:rPr>
      </w:pPr>
      <w:r>
        <w:rPr>
          <w:rFonts w:eastAsia="Times New Roman"/>
          <w:b/>
          <w:bCs/>
          <w:lang w:eastAsia="id-ID"/>
        </w:rPr>
        <w:t>Iis Noventi</w:t>
      </w:r>
      <w:r>
        <w:rPr>
          <w:rFonts w:eastAsia="Times New Roman"/>
          <w:b/>
          <w:bCs/>
          <w:vertAlign w:val="superscript"/>
          <w:lang w:eastAsia="id-ID"/>
        </w:rPr>
        <w:t>1</w:t>
      </w:r>
      <w:r w:rsidRPr="00985A01">
        <w:rPr>
          <w:rFonts w:eastAsia="Times New Roman"/>
          <w:b/>
          <w:bCs/>
          <w:lang w:eastAsia="id-ID"/>
        </w:rPr>
        <w:t>,</w:t>
      </w:r>
      <w:r>
        <w:rPr>
          <w:rFonts w:eastAsia="Times New Roman"/>
          <w:b/>
          <w:bCs/>
          <w:lang w:eastAsia="id-ID"/>
        </w:rPr>
        <w:t xml:space="preserve"> Rusdianingseh</w:t>
      </w:r>
      <w:r>
        <w:rPr>
          <w:rFonts w:eastAsia="Times New Roman"/>
          <w:b/>
          <w:bCs/>
          <w:vertAlign w:val="superscript"/>
          <w:lang w:eastAsia="id-ID"/>
        </w:rPr>
        <w:t>2</w:t>
      </w:r>
      <w:r>
        <w:rPr>
          <w:rFonts w:eastAsia="Times New Roman"/>
          <w:b/>
          <w:bCs/>
          <w:lang w:eastAsia="id-ID"/>
        </w:rPr>
        <w:t>, Muhamad Khafid</w:t>
      </w:r>
      <w:r>
        <w:rPr>
          <w:rFonts w:eastAsia="Times New Roman"/>
          <w:b/>
          <w:bCs/>
          <w:vertAlign w:val="superscript"/>
          <w:lang w:eastAsia="id-ID"/>
        </w:rPr>
        <w:t>3</w:t>
      </w:r>
    </w:p>
    <w:p w:rsidR="00A60519" w:rsidRDefault="00A60519" w:rsidP="00A60519">
      <w:pPr>
        <w:ind w:left="720" w:firstLine="720"/>
        <w:rPr>
          <w:rFonts w:eastAsia="Times New Roman"/>
          <w:iCs/>
          <w:sz w:val="20"/>
          <w:lang w:eastAsia="id-ID"/>
        </w:rPr>
      </w:pPr>
      <w:r w:rsidRPr="00767E35">
        <w:rPr>
          <w:rFonts w:eastAsia="Times New Roman"/>
          <w:iCs/>
          <w:sz w:val="20"/>
          <w:vertAlign w:val="superscript"/>
          <w:lang w:eastAsia="id-ID"/>
        </w:rPr>
        <w:t>1</w:t>
      </w:r>
      <w:r>
        <w:rPr>
          <w:rFonts w:eastAsia="Times New Roman"/>
          <w:iCs/>
          <w:sz w:val="20"/>
          <w:vertAlign w:val="superscript"/>
          <w:lang w:eastAsia="id-ID"/>
        </w:rPr>
        <w:t>,2,3</w:t>
      </w:r>
      <w:r>
        <w:rPr>
          <w:rFonts w:eastAsia="Times New Roman"/>
          <w:iCs/>
          <w:sz w:val="20"/>
          <w:lang w:eastAsia="id-ID"/>
        </w:rPr>
        <w:t>Fakultas Keperawatan</w:t>
      </w:r>
      <w:r w:rsidRPr="00767E35">
        <w:rPr>
          <w:rFonts w:eastAsia="Times New Roman"/>
          <w:iCs/>
          <w:sz w:val="20"/>
          <w:lang w:eastAsia="id-ID"/>
        </w:rPr>
        <w:t xml:space="preserve">, </w:t>
      </w:r>
      <w:r>
        <w:rPr>
          <w:rFonts w:eastAsia="Times New Roman"/>
          <w:iCs/>
          <w:sz w:val="20"/>
          <w:lang w:eastAsia="id-ID"/>
        </w:rPr>
        <w:t>Universitas Nahdlatul Ulama Surabaya</w:t>
      </w:r>
      <w:r w:rsidRPr="00767E35">
        <w:rPr>
          <w:rFonts w:eastAsia="Times New Roman"/>
          <w:iCs/>
          <w:sz w:val="20"/>
          <w:lang w:eastAsia="id-ID"/>
        </w:rPr>
        <w:t>, Indonesia</w:t>
      </w:r>
    </w:p>
    <w:p w:rsidR="00A60519" w:rsidRDefault="00A60519" w:rsidP="00941D8F">
      <w:pPr>
        <w:jc w:val="center"/>
        <w:rPr>
          <w:rFonts w:ascii="Times New Roman" w:hAnsi="Times New Roman" w:cs="Times New Roman"/>
          <w:b/>
          <w:bCs/>
          <w:iCs/>
          <w:sz w:val="20"/>
          <w:szCs w:val="20"/>
          <w:lang w:bidi="ar-SA"/>
        </w:rPr>
      </w:pPr>
    </w:p>
    <w:p w:rsidR="00941D8F" w:rsidRPr="008C65B3" w:rsidRDefault="00941D8F" w:rsidP="00941D8F">
      <w:pPr>
        <w:jc w:val="center"/>
        <w:rPr>
          <w:rFonts w:ascii="Times New Roman" w:hAnsi="Times New Roman" w:cs="Times New Roman"/>
          <w:b/>
          <w:bCs/>
          <w:iCs/>
          <w:sz w:val="20"/>
          <w:szCs w:val="20"/>
          <w:lang w:bidi="ar-SA"/>
        </w:rPr>
      </w:pPr>
      <w:r w:rsidRPr="008C65B3">
        <w:rPr>
          <w:rFonts w:ascii="Times New Roman" w:hAnsi="Times New Roman" w:cs="Times New Roman"/>
          <w:b/>
          <w:bCs/>
          <w:iCs/>
          <w:sz w:val="20"/>
          <w:szCs w:val="20"/>
          <w:lang w:bidi="ar-SA"/>
        </w:rPr>
        <w:t>ABSTRAK</w:t>
      </w:r>
    </w:p>
    <w:p w:rsidR="00F92B09" w:rsidRPr="00FC2152" w:rsidRDefault="00F92B09" w:rsidP="00723396">
      <w:pPr>
        <w:pStyle w:val="NoSpacing"/>
        <w:jc w:val="both"/>
        <w:rPr>
          <w:rFonts w:ascii="Times New Roman" w:hAnsi="Times New Roman" w:cs="Times New Roman"/>
          <w:sz w:val="20"/>
          <w:szCs w:val="20"/>
          <w:lang w:bidi="ar-SA"/>
        </w:rPr>
      </w:pPr>
      <w:r w:rsidRPr="00FC2152">
        <w:rPr>
          <w:rFonts w:ascii="Times New Roman" w:hAnsi="Times New Roman" w:cs="Times New Roman"/>
          <w:b/>
          <w:sz w:val="20"/>
          <w:szCs w:val="20"/>
          <w:lang w:bidi="ar-SA"/>
        </w:rPr>
        <w:t>Latar belakang</w:t>
      </w:r>
      <w:r w:rsidRPr="00FC2152">
        <w:rPr>
          <w:rFonts w:ascii="Times New Roman" w:hAnsi="Times New Roman" w:cs="Times New Roman"/>
          <w:sz w:val="20"/>
          <w:szCs w:val="20"/>
          <w:lang w:bidi="ar-SA"/>
        </w:rPr>
        <w:t xml:space="preserve"> : Prediabetes merupakan kondisi kadar glukosa darah diatas normal, tapi belum memenuhi standar diagnosis</w:t>
      </w:r>
      <w:r w:rsidR="00637347" w:rsidRPr="00FC2152">
        <w:rPr>
          <w:rFonts w:ascii="Times New Roman" w:hAnsi="Times New Roman" w:cs="Times New Roman"/>
          <w:sz w:val="20"/>
          <w:szCs w:val="20"/>
          <w:lang w:bidi="ar-SA"/>
        </w:rPr>
        <w:t xml:space="preserve"> diabetes. Kondisi ini </w:t>
      </w:r>
      <w:r w:rsidRPr="00FC2152">
        <w:rPr>
          <w:rFonts w:ascii="Times New Roman" w:hAnsi="Times New Roman" w:cs="Times New Roman"/>
          <w:sz w:val="20"/>
          <w:szCs w:val="20"/>
          <w:lang w:bidi="ar-SA"/>
        </w:rPr>
        <w:t xml:space="preserve"> bila tidak dilakukan perubahan gaya hidup, dapat jatuh pada diagnosis diabetes. Penelitian ini bertujuan memperoleh prevalensi, karakteristik dan faktor resiko prediabetes di wilayah pesisir, pegunungan dan perkotaan. </w:t>
      </w:r>
    </w:p>
    <w:p w:rsidR="00F92B09" w:rsidRPr="00FC2152" w:rsidRDefault="00F92B09" w:rsidP="00723396">
      <w:pPr>
        <w:pStyle w:val="NoSpacing"/>
        <w:jc w:val="both"/>
        <w:rPr>
          <w:rFonts w:ascii="Times New Roman" w:hAnsi="Times New Roman" w:cs="Times New Roman"/>
          <w:sz w:val="20"/>
          <w:szCs w:val="20"/>
          <w:lang w:bidi="ar-SA"/>
        </w:rPr>
      </w:pPr>
      <w:r w:rsidRPr="00FC2152">
        <w:rPr>
          <w:rFonts w:ascii="Times New Roman" w:hAnsi="Times New Roman" w:cs="Times New Roman"/>
          <w:b/>
          <w:sz w:val="20"/>
          <w:szCs w:val="20"/>
          <w:lang w:bidi="ar-SA"/>
        </w:rPr>
        <w:t>Methode</w:t>
      </w:r>
      <w:r w:rsidRPr="00FC2152">
        <w:rPr>
          <w:rFonts w:ascii="Times New Roman" w:hAnsi="Times New Roman" w:cs="Times New Roman"/>
          <w:sz w:val="20"/>
          <w:szCs w:val="20"/>
          <w:lang w:bidi="ar-SA"/>
        </w:rPr>
        <w:t xml:space="preserve"> : </w:t>
      </w:r>
      <w:r w:rsidR="00C26FD5" w:rsidRPr="00FC2152">
        <w:rPr>
          <w:rFonts w:ascii="Times New Roman" w:hAnsi="Times New Roman" w:cs="Times New Roman"/>
          <w:sz w:val="20"/>
          <w:szCs w:val="20"/>
          <w:lang w:bidi="ar-SA"/>
        </w:rPr>
        <w:t>R</w:t>
      </w:r>
      <w:r w:rsidR="00792667" w:rsidRPr="00FC2152">
        <w:rPr>
          <w:rFonts w:ascii="Times New Roman" w:hAnsi="Times New Roman" w:cs="Times New Roman"/>
          <w:sz w:val="20"/>
          <w:szCs w:val="20"/>
          <w:lang w:bidi="ar-SA"/>
        </w:rPr>
        <w:t>esponden adalah 90 subjek dari 3 wilayah yaitu wilayah pesisir, pegunungan dan perkotaan. Analisis dilakukan menggunakan uji Chi- Squar</w:t>
      </w:r>
      <w:r w:rsidR="00396EFE" w:rsidRPr="00FC2152">
        <w:rPr>
          <w:rFonts w:ascii="Times New Roman" w:hAnsi="Times New Roman" w:cs="Times New Roman"/>
          <w:sz w:val="20"/>
          <w:szCs w:val="20"/>
          <w:lang w:bidi="ar-SA"/>
        </w:rPr>
        <w:t>e terhadap fak</w:t>
      </w:r>
      <w:r w:rsidR="00792667" w:rsidRPr="00FC2152">
        <w:rPr>
          <w:rFonts w:ascii="Times New Roman" w:hAnsi="Times New Roman" w:cs="Times New Roman"/>
          <w:sz w:val="20"/>
          <w:szCs w:val="20"/>
          <w:lang w:bidi="ar-SA"/>
        </w:rPr>
        <w:t xml:space="preserve">tor resiko. </w:t>
      </w:r>
    </w:p>
    <w:p w:rsidR="00792667" w:rsidRPr="00FC2152" w:rsidRDefault="00792667" w:rsidP="00723396">
      <w:pPr>
        <w:pStyle w:val="NoSpacing"/>
        <w:jc w:val="both"/>
        <w:rPr>
          <w:rFonts w:ascii="Times New Roman" w:hAnsi="Times New Roman" w:cs="Times New Roman"/>
          <w:sz w:val="20"/>
          <w:szCs w:val="20"/>
          <w:lang w:bidi="ar-SA"/>
        </w:rPr>
      </w:pPr>
      <w:r w:rsidRPr="00FC2152">
        <w:rPr>
          <w:rFonts w:ascii="Times New Roman" w:hAnsi="Times New Roman" w:cs="Times New Roman"/>
          <w:b/>
          <w:sz w:val="20"/>
          <w:szCs w:val="20"/>
          <w:lang w:bidi="ar-SA"/>
        </w:rPr>
        <w:t>Hasil</w:t>
      </w:r>
      <w:r w:rsidRPr="00FC2152">
        <w:rPr>
          <w:rFonts w:ascii="Times New Roman" w:hAnsi="Times New Roman" w:cs="Times New Roman"/>
          <w:sz w:val="20"/>
          <w:szCs w:val="20"/>
          <w:lang w:bidi="ar-SA"/>
        </w:rPr>
        <w:t xml:space="preserve"> : Prevalensi prediabetes diperoleh </w:t>
      </w:r>
      <w:r w:rsidR="00637347" w:rsidRPr="00FC2152">
        <w:rPr>
          <w:rFonts w:ascii="Times New Roman" w:hAnsi="Times New Roman" w:cs="Times New Roman"/>
          <w:sz w:val="20"/>
          <w:szCs w:val="20"/>
          <w:lang w:bidi="ar-SA"/>
        </w:rPr>
        <w:t xml:space="preserve">dari </w:t>
      </w:r>
      <w:r w:rsidRPr="00FC2152">
        <w:rPr>
          <w:rFonts w:ascii="Times New Roman" w:hAnsi="Times New Roman" w:cs="Times New Roman"/>
          <w:sz w:val="20"/>
          <w:szCs w:val="20"/>
          <w:lang w:bidi="ar-SA"/>
        </w:rPr>
        <w:t xml:space="preserve">hasil pemeriksaan GDA di wilayah </w:t>
      </w:r>
      <w:r w:rsidR="00845274" w:rsidRPr="00FC2152">
        <w:rPr>
          <w:rFonts w:ascii="Times New Roman" w:hAnsi="Times New Roman" w:cs="Times New Roman"/>
          <w:sz w:val="20"/>
          <w:szCs w:val="20"/>
          <w:lang w:bidi="ar-SA"/>
        </w:rPr>
        <w:t xml:space="preserve">pegunungan </w:t>
      </w:r>
      <w:r w:rsidRPr="00FC2152">
        <w:rPr>
          <w:rFonts w:ascii="Times New Roman" w:hAnsi="Times New Roman" w:cs="Times New Roman"/>
          <w:sz w:val="20"/>
          <w:szCs w:val="20"/>
          <w:lang w:bidi="ar-SA"/>
        </w:rPr>
        <w:t>sebesar</w:t>
      </w:r>
      <w:r w:rsidR="00845274" w:rsidRPr="00FC2152">
        <w:rPr>
          <w:rFonts w:ascii="Times New Roman" w:hAnsi="Times New Roman" w:cs="Times New Roman"/>
          <w:sz w:val="20"/>
          <w:szCs w:val="20"/>
          <w:lang w:bidi="ar-SA"/>
        </w:rPr>
        <w:t xml:space="preserve"> 83,3%, pesisir</w:t>
      </w:r>
      <w:r w:rsidRPr="00FC2152">
        <w:rPr>
          <w:rFonts w:ascii="Times New Roman" w:hAnsi="Times New Roman" w:cs="Times New Roman"/>
          <w:sz w:val="20"/>
          <w:szCs w:val="20"/>
          <w:lang w:bidi="ar-SA"/>
        </w:rPr>
        <w:t xml:space="preserve"> </w:t>
      </w:r>
      <w:r w:rsidR="00845274" w:rsidRPr="00FC2152">
        <w:rPr>
          <w:rFonts w:ascii="Times New Roman" w:hAnsi="Times New Roman" w:cs="Times New Roman"/>
          <w:sz w:val="20"/>
          <w:szCs w:val="20"/>
          <w:lang w:bidi="ar-SA"/>
        </w:rPr>
        <w:t>4</w:t>
      </w:r>
      <w:r w:rsidR="00036C7E" w:rsidRPr="00FC2152">
        <w:rPr>
          <w:rFonts w:ascii="Times New Roman" w:hAnsi="Times New Roman" w:cs="Times New Roman"/>
          <w:sz w:val="20"/>
          <w:szCs w:val="20"/>
          <w:lang w:bidi="ar-SA"/>
        </w:rPr>
        <w:t>3,</w:t>
      </w:r>
      <w:r w:rsidR="00845274" w:rsidRPr="00FC2152">
        <w:rPr>
          <w:rFonts w:ascii="Times New Roman" w:hAnsi="Times New Roman" w:cs="Times New Roman"/>
          <w:sz w:val="20"/>
          <w:szCs w:val="20"/>
          <w:lang w:bidi="ar-SA"/>
        </w:rPr>
        <w:t>4</w:t>
      </w:r>
      <w:r w:rsidRPr="00FC2152">
        <w:rPr>
          <w:rFonts w:ascii="Times New Roman" w:hAnsi="Times New Roman" w:cs="Times New Roman"/>
          <w:sz w:val="20"/>
          <w:szCs w:val="20"/>
          <w:lang w:bidi="ar-SA"/>
        </w:rPr>
        <w:t xml:space="preserve">%, perkotaan </w:t>
      </w:r>
      <w:r w:rsidR="00036C7E" w:rsidRPr="00FC2152">
        <w:rPr>
          <w:rFonts w:ascii="Times New Roman" w:hAnsi="Times New Roman" w:cs="Times New Roman"/>
          <w:sz w:val="20"/>
          <w:szCs w:val="20"/>
          <w:lang w:bidi="ar-SA"/>
        </w:rPr>
        <w:t>73,4</w:t>
      </w:r>
      <w:r w:rsidRPr="00FC2152">
        <w:rPr>
          <w:rFonts w:ascii="Times New Roman" w:hAnsi="Times New Roman" w:cs="Times New Roman"/>
          <w:sz w:val="20"/>
          <w:szCs w:val="20"/>
          <w:lang w:bidi="ar-SA"/>
        </w:rPr>
        <w:t>%.</w:t>
      </w:r>
      <w:r w:rsidR="00573AD2" w:rsidRPr="00FC2152">
        <w:rPr>
          <w:rFonts w:ascii="Times New Roman" w:hAnsi="Times New Roman" w:cs="Times New Roman"/>
          <w:color w:val="FF0000"/>
          <w:sz w:val="20"/>
          <w:szCs w:val="20"/>
          <w:lang w:bidi="ar-SA"/>
        </w:rPr>
        <w:t xml:space="preserve"> </w:t>
      </w:r>
      <w:r w:rsidR="00573AD2" w:rsidRPr="00FC2152">
        <w:rPr>
          <w:rFonts w:ascii="Times New Roman" w:hAnsi="Times New Roman" w:cs="Times New Roman"/>
          <w:sz w:val="20"/>
          <w:szCs w:val="20"/>
          <w:lang w:bidi="ar-SA"/>
        </w:rPr>
        <w:t xml:space="preserve">Karakteristik prediabetes di di wilayah </w:t>
      </w:r>
      <w:r w:rsidR="00845274" w:rsidRPr="00FC2152">
        <w:rPr>
          <w:rFonts w:ascii="Times New Roman" w:hAnsi="Times New Roman" w:cs="Times New Roman"/>
          <w:sz w:val="20"/>
          <w:szCs w:val="20"/>
          <w:lang w:bidi="ar-SA"/>
        </w:rPr>
        <w:t xml:space="preserve">pegunungan </w:t>
      </w:r>
      <w:r w:rsidR="00573AD2" w:rsidRPr="00FC2152">
        <w:rPr>
          <w:rFonts w:ascii="Times New Roman" w:hAnsi="Times New Roman" w:cs="Times New Roman"/>
          <w:sz w:val="20"/>
          <w:szCs w:val="20"/>
          <w:lang w:bidi="ar-SA"/>
        </w:rPr>
        <w:t>adala</w:t>
      </w:r>
      <w:r w:rsidR="00845274" w:rsidRPr="00FC2152">
        <w:rPr>
          <w:rFonts w:ascii="Times New Roman" w:hAnsi="Times New Roman" w:cs="Times New Roman"/>
          <w:sz w:val="20"/>
          <w:szCs w:val="20"/>
          <w:lang w:bidi="ar-SA"/>
        </w:rPr>
        <w:t>h jenis kelamin perempuan, usia 40</w:t>
      </w:r>
      <w:r w:rsidR="00637347" w:rsidRPr="00FC2152">
        <w:rPr>
          <w:rFonts w:ascii="Times New Roman" w:hAnsi="Times New Roman" w:cs="Times New Roman"/>
          <w:sz w:val="20"/>
          <w:szCs w:val="20"/>
          <w:lang w:bidi="ar-SA"/>
        </w:rPr>
        <w:t>-54 tahun, hipertensi, dan obesitas</w:t>
      </w:r>
      <w:r w:rsidR="00845274" w:rsidRPr="00FC2152">
        <w:rPr>
          <w:rFonts w:ascii="Times New Roman" w:hAnsi="Times New Roman" w:cs="Times New Roman"/>
          <w:sz w:val="20"/>
          <w:szCs w:val="20"/>
          <w:lang w:bidi="ar-SA"/>
        </w:rPr>
        <w:t>. Di wilayah pesisir adalah jenis kelamin perempuan</w:t>
      </w:r>
      <w:r w:rsidR="00637347" w:rsidRPr="00FC2152">
        <w:rPr>
          <w:rFonts w:ascii="Times New Roman" w:hAnsi="Times New Roman" w:cs="Times New Roman"/>
          <w:sz w:val="20"/>
          <w:szCs w:val="20"/>
          <w:lang w:bidi="ar-SA"/>
        </w:rPr>
        <w:t xml:space="preserve">, usia 40-54 tahun, hipertensi. </w:t>
      </w:r>
      <w:r w:rsidR="00845274" w:rsidRPr="00FC2152">
        <w:rPr>
          <w:rFonts w:ascii="Times New Roman" w:hAnsi="Times New Roman" w:cs="Times New Roman"/>
          <w:sz w:val="20"/>
          <w:szCs w:val="20"/>
          <w:lang w:bidi="ar-SA"/>
        </w:rPr>
        <w:t xml:space="preserve">Di wilayah perkotaan adalah jenis kelamin perempuan, usia 40-54 tahun, obesitas, dan tidak aktif beraktifitas. </w:t>
      </w:r>
      <w:r w:rsidR="00485307" w:rsidRPr="00FC2152">
        <w:rPr>
          <w:rFonts w:ascii="Times New Roman" w:hAnsi="Times New Roman" w:cs="Times New Roman"/>
          <w:sz w:val="20"/>
          <w:szCs w:val="20"/>
          <w:lang w:bidi="ar-SA"/>
        </w:rPr>
        <w:t>Faktor resiko di wilayah pegunungan adalah asam urat dan kolesterol (</w:t>
      </w:r>
      <w:r w:rsidR="00485307" w:rsidRPr="00FC2152">
        <w:rPr>
          <w:rStyle w:val="A7"/>
          <w:rFonts w:ascii="Times New Roman" w:hAnsi="Times New Roman" w:cs="Times New Roman"/>
          <w:sz w:val="20"/>
          <w:szCs w:val="20"/>
        </w:rPr>
        <w:t>p &lt;0,05), di wilayah pesisir adalah asam urat, kolesterol dan penyakit pembuluh darah lainnya (p &lt;0,05), sedangkan di wilayah perkotaan adalah riwayat keturunan dan kolesterol (p &lt;0,05).</w:t>
      </w:r>
    </w:p>
    <w:p w:rsidR="00E5446C" w:rsidRDefault="00E5446C" w:rsidP="00723396">
      <w:pPr>
        <w:pStyle w:val="NoSpacing"/>
        <w:jc w:val="both"/>
        <w:rPr>
          <w:rFonts w:ascii="Times New Roman" w:hAnsi="Times New Roman" w:cs="Times New Roman"/>
          <w:sz w:val="20"/>
          <w:szCs w:val="20"/>
          <w:lang w:bidi="ar-SA"/>
        </w:rPr>
      </w:pPr>
      <w:r w:rsidRPr="00FC2152">
        <w:rPr>
          <w:rFonts w:ascii="Times New Roman" w:hAnsi="Times New Roman" w:cs="Times New Roman"/>
          <w:b/>
          <w:sz w:val="20"/>
          <w:szCs w:val="20"/>
          <w:lang w:bidi="ar-SA"/>
        </w:rPr>
        <w:t>Kesimpulan</w:t>
      </w:r>
      <w:r w:rsidRPr="00FC2152">
        <w:rPr>
          <w:rFonts w:ascii="Times New Roman" w:hAnsi="Times New Roman" w:cs="Times New Roman"/>
          <w:color w:val="FF0000"/>
          <w:sz w:val="20"/>
          <w:szCs w:val="20"/>
          <w:lang w:bidi="ar-SA"/>
        </w:rPr>
        <w:t xml:space="preserve"> </w:t>
      </w:r>
      <w:r w:rsidRPr="00FC2152">
        <w:rPr>
          <w:rFonts w:ascii="Times New Roman" w:hAnsi="Times New Roman" w:cs="Times New Roman"/>
          <w:sz w:val="20"/>
          <w:szCs w:val="20"/>
          <w:lang w:bidi="ar-SA"/>
        </w:rPr>
        <w:t xml:space="preserve">: Prevalensi prediabetes di </w:t>
      </w:r>
      <w:r w:rsidR="00396EFE" w:rsidRPr="00FC2152">
        <w:rPr>
          <w:rFonts w:ascii="Times New Roman" w:hAnsi="Times New Roman" w:cs="Times New Roman"/>
          <w:sz w:val="20"/>
          <w:szCs w:val="20"/>
          <w:lang w:bidi="ar-SA"/>
        </w:rPr>
        <w:t xml:space="preserve">wilayah pesisir </w:t>
      </w:r>
      <w:r w:rsidR="00036C7E" w:rsidRPr="00FC2152">
        <w:rPr>
          <w:rFonts w:ascii="Times New Roman" w:hAnsi="Times New Roman" w:cs="Times New Roman"/>
          <w:sz w:val="20"/>
          <w:szCs w:val="20"/>
          <w:lang w:bidi="ar-SA"/>
        </w:rPr>
        <w:t xml:space="preserve"> </w:t>
      </w:r>
      <w:r w:rsidR="00396EFE" w:rsidRPr="00FC2152">
        <w:rPr>
          <w:rFonts w:ascii="Times New Roman" w:hAnsi="Times New Roman" w:cs="Times New Roman"/>
          <w:sz w:val="20"/>
          <w:szCs w:val="20"/>
          <w:lang w:bidi="ar-SA"/>
        </w:rPr>
        <w:t>se</w:t>
      </w:r>
      <w:r w:rsidR="00036C7E" w:rsidRPr="00FC2152">
        <w:rPr>
          <w:rFonts w:ascii="Times New Roman" w:hAnsi="Times New Roman" w:cs="Times New Roman"/>
          <w:sz w:val="20"/>
          <w:szCs w:val="20"/>
          <w:lang w:bidi="ar-SA"/>
        </w:rPr>
        <w:t>besar ( 43,3</w:t>
      </w:r>
      <w:r w:rsidRPr="00FC2152">
        <w:rPr>
          <w:rFonts w:ascii="Times New Roman" w:hAnsi="Times New Roman" w:cs="Times New Roman"/>
          <w:sz w:val="20"/>
          <w:szCs w:val="20"/>
          <w:lang w:bidi="ar-SA"/>
        </w:rPr>
        <w:t xml:space="preserve">%), di wilayah pegunungan </w:t>
      </w:r>
      <w:r w:rsidR="00396EFE" w:rsidRPr="00FC2152">
        <w:rPr>
          <w:rFonts w:ascii="Times New Roman" w:hAnsi="Times New Roman" w:cs="Times New Roman"/>
          <w:sz w:val="20"/>
          <w:szCs w:val="20"/>
          <w:lang w:bidi="ar-SA"/>
        </w:rPr>
        <w:t>se</w:t>
      </w:r>
      <w:r w:rsidRPr="00FC2152">
        <w:rPr>
          <w:rFonts w:ascii="Times New Roman" w:hAnsi="Times New Roman" w:cs="Times New Roman"/>
          <w:sz w:val="20"/>
          <w:szCs w:val="20"/>
          <w:lang w:bidi="ar-SA"/>
        </w:rPr>
        <w:t xml:space="preserve">besar (83,3%), di wilayah perkotaan </w:t>
      </w:r>
      <w:r w:rsidR="00396EFE" w:rsidRPr="00FC2152">
        <w:rPr>
          <w:rFonts w:ascii="Times New Roman" w:hAnsi="Times New Roman" w:cs="Times New Roman"/>
          <w:sz w:val="20"/>
          <w:szCs w:val="20"/>
          <w:lang w:bidi="ar-SA"/>
        </w:rPr>
        <w:t>se</w:t>
      </w:r>
      <w:r w:rsidR="00036C7E" w:rsidRPr="00FC2152">
        <w:rPr>
          <w:rFonts w:ascii="Times New Roman" w:hAnsi="Times New Roman" w:cs="Times New Roman"/>
          <w:sz w:val="20"/>
          <w:szCs w:val="20"/>
          <w:lang w:bidi="ar-SA"/>
        </w:rPr>
        <w:t>besar (73,4</w:t>
      </w:r>
      <w:r w:rsidRPr="00FC2152">
        <w:rPr>
          <w:rFonts w:ascii="Times New Roman" w:hAnsi="Times New Roman" w:cs="Times New Roman"/>
          <w:sz w:val="20"/>
          <w:szCs w:val="20"/>
          <w:lang w:bidi="ar-SA"/>
        </w:rPr>
        <w:t xml:space="preserve">%) sehingga perlu dilakukan strategi pencegahan </w:t>
      </w:r>
      <w:r w:rsidR="00BD0FCD" w:rsidRPr="00FC2152">
        <w:rPr>
          <w:rFonts w:ascii="Times New Roman" w:hAnsi="Times New Roman" w:cs="Times New Roman"/>
          <w:sz w:val="20"/>
          <w:szCs w:val="20"/>
          <w:lang w:bidi="ar-SA"/>
        </w:rPr>
        <w:t>baik terhadap prediabetes maupun progresivit</w:t>
      </w:r>
      <w:r w:rsidR="00637347" w:rsidRPr="00FC2152">
        <w:rPr>
          <w:rFonts w:ascii="Times New Roman" w:hAnsi="Times New Roman" w:cs="Times New Roman"/>
          <w:sz w:val="20"/>
          <w:szCs w:val="20"/>
          <w:lang w:bidi="ar-SA"/>
        </w:rPr>
        <w:t>as prediabetes menjadi diabetes</w:t>
      </w:r>
      <w:r w:rsidR="00AF3FEC" w:rsidRPr="00FC2152">
        <w:rPr>
          <w:rFonts w:ascii="Times New Roman" w:hAnsi="Times New Roman" w:cs="Times New Roman"/>
          <w:sz w:val="20"/>
          <w:szCs w:val="20"/>
          <w:lang w:bidi="ar-SA"/>
        </w:rPr>
        <w:t xml:space="preserve">. </w:t>
      </w:r>
    </w:p>
    <w:p w:rsidR="008C65B3" w:rsidRDefault="008C65B3" w:rsidP="00723396">
      <w:pPr>
        <w:pStyle w:val="NoSpacing"/>
        <w:jc w:val="both"/>
        <w:rPr>
          <w:rFonts w:ascii="Times New Roman" w:hAnsi="Times New Roman" w:cs="Times New Roman"/>
          <w:sz w:val="20"/>
          <w:szCs w:val="20"/>
          <w:lang w:bidi="ar-SA"/>
        </w:rPr>
      </w:pPr>
    </w:p>
    <w:p w:rsidR="001B0109" w:rsidRPr="001A276A" w:rsidRDefault="008C65B3" w:rsidP="008C65B3">
      <w:pPr>
        <w:pStyle w:val="NormalWeb"/>
        <w:widowControl/>
        <w:spacing w:before="0" w:beforeAutospacing="0" w:after="0" w:afterAutospacing="0"/>
        <w:ind w:left="2268"/>
        <w:rPr>
          <w:rFonts w:eastAsia="Book Antiqua"/>
          <w:b/>
          <w:kern w:val="0"/>
          <w:sz w:val="20"/>
          <w:szCs w:val="20"/>
          <w:lang w:val="id-ID"/>
        </w:rPr>
      </w:pPr>
      <w:r>
        <w:rPr>
          <w:rFonts w:eastAsia="Book Antiqua"/>
          <w:b/>
          <w:kern w:val="0"/>
          <w:sz w:val="20"/>
          <w:szCs w:val="20"/>
        </w:rPr>
        <w:t xml:space="preserve">                   </w:t>
      </w:r>
      <w:r w:rsidR="001B0109" w:rsidRPr="001A276A">
        <w:rPr>
          <w:rFonts w:eastAsia="Book Antiqua"/>
          <w:b/>
          <w:kern w:val="0"/>
          <w:sz w:val="20"/>
          <w:szCs w:val="20"/>
        </w:rPr>
        <w:t>ABSTRACT</w:t>
      </w:r>
    </w:p>
    <w:p w:rsidR="00FC2152" w:rsidRPr="008C65B3" w:rsidRDefault="00FC2152" w:rsidP="00723396">
      <w:pPr>
        <w:pStyle w:val="NoSpacing"/>
        <w:jc w:val="both"/>
        <w:rPr>
          <w:rFonts w:ascii="Times New Roman" w:hAnsi="Times New Roman" w:cs="Times New Roman"/>
          <w:sz w:val="18"/>
          <w:szCs w:val="18"/>
          <w:lang w:bidi="ar-SA"/>
        </w:rPr>
      </w:pPr>
    </w:p>
    <w:p w:rsidR="00FC2152" w:rsidRPr="008C65B3" w:rsidRDefault="00FC2152" w:rsidP="00FC2152">
      <w:pPr>
        <w:pStyle w:val="NoSpacing"/>
        <w:jc w:val="both"/>
        <w:rPr>
          <w:rFonts w:ascii="Times New Roman" w:hAnsi="Times New Roman" w:cs="Times New Roman"/>
          <w:sz w:val="18"/>
          <w:szCs w:val="18"/>
        </w:rPr>
      </w:pPr>
      <w:r w:rsidRPr="008C65B3">
        <w:rPr>
          <w:rFonts w:ascii="Times New Roman" w:hAnsi="Times New Roman" w:cs="Times New Roman"/>
          <w:b/>
          <w:sz w:val="18"/>
          <w:szCs w:val="18"/>
        </w:rPr>
        <w:t>Background:</w:t>
      </w:r>
      <w:r w:rsidRPr="008C65B3">
        <w:rPr>
          <w:rFonts w:ascii="Times New Roman" w:hAnsi="Times New Roman" w:cs="Times New Roman"/>
          <w:sz w:val="18"/>
          <w:szCs w:val="18"/>
        </w:rPr>
        <w:t xml:space="preserve"> Prediabetes is a condition of blood glucose levels above normal, but does not yet meet the standard diagnosis of diabetes. This condition if lifestyle changes are not made, can fall on the diagnosis of diabetes. This study aims to obtain the prevalence, characteristics and risk factors for prediabetes in coastal, mountainous and urban areas.</w:t>
      </w:r>
    </w:p>
    <w:p w:rsidR="00FC2152" w:rsidRPr="008C65B3" w:rsidRDefault="00FC2152" w:rsidP="00FC2152">
      <w:pPr>
        <w:pStyle w:val="NoSpacing"/>
        <w:jc w:val="both"/>
        <w:rPr>
          <w:rFonts w:ascii="Times New Roman" w:hAnsi="Times New Roman" w:cs="Times New Roman"/>
          <w:sz w:val="18"/>
          <w:szCs w:val="18"/>
        </w:rPr>
      </w:pPr>
      <w:r w:rsidRPr="008C65B3">
        <w:rPr>
          <w:rFonts w:ascii="Times New Roman" w:hAnsi="Times New Roman" w:cs="Times New Roman"/>
          <w:b/>
          <w:sz w:val="18"/>
          <w:szCs w:val="18"/>
        </w:rPr>
        <w:t>Method</w:t>
      </w:r>
      <w:r w:rsidRPr="008C65B3">
        <w:rPr>
          <w:rFonts w:ascii="Times New Roman" w:hAnsi="Times New Roman" w:cs="Times New Roman"/>
          <w:sz w:val="18"/>
          <w:szCs w:val="18"/>
        </w:rPr>
        <w:t xml:space="preserve">: Respondents were 90 subjects from 3 regions namely coastal, mountainous and urban areas. Analysis was performed using the Chi-Square test for risk factors. </w:t>
      </w:r>
    </w:p>
    <w:p w:rsidR="00FC2152" w:rsidRPr="008C65B3" w:rsidRDefault="00FC2152" w:rsidP="00FC2152">
      <w:pPr>
        <w:pStyle w:val="NoSpacing"/>
        <w:jc w:val="both"/>
        <w:rPr>
          <w:rFonts w:ascii="Times New Roman" w:hAnsi="Times New Roman" w:cs="Times New Roman"/>
          <w:sz w:val="18"/>
          <w:szCs w:val="18"/>
        </w:rPr>
      </w:pPr>
      <w:r w:rsidRPr="008C65B3">
        <w:rPr>
          <w:rFonts w:ascii="Times New Roman" w:hAnsi="Times New Roman" w:cs="Times New Roman"/>
          <w:b/>
          <w:sz w:val="18"/>
          <w:szCs w:val="18"/>
        </w:rPr>
        <w:t>Results:</w:t>
      </w:r>
      <w:r w:rsidRPr="008C65B3">
        <w:rPr>
          <w:rFonts w:ascii="Times New Roman" w:hAnsi="Times New Roman" w:cs="Times New Roman"/>
          <w:sz w:val="18"/>
          <w:szCs w:val="18"/>
        </w:rPr>
        <w:t xml:space="preserve"> The prevalence of prediabetes was obtained from the results of GDA examination in the mountainous region of 83.3%, coastal 43.4%, urban 73.4%. The characteristics of prediabetes in mountainous areas are female sex, age 40-54 years, hypertension, and obesity. In coastal areas are female sex, age 40-54 years, hypertension. In urban areas are female sex, age 40-54 years, obesity, and not active activity. Risk factors in mountainous regions are uric acid and cholesterol (p &lt;0.05), in coastal areas are uric acid, cholesterol and other vascular diseases (p &lt;0.05), whereas in urban areas are history of heredity and cholesterol (p &lt;0.05).</w:t>
      </w:r>
    </w:p>
    <w:p w:rsidR="00FC2152" w:rsidRPr="008C65B3" w:rsidRDefault="00FC2152" w:rsidP="00FC2152">
      <w:pPr>
        <w:pStyle w:val="NoSpacing"/>
        <w:jc w:val="both"/>
        <w:rPr>
          <w:rFonts w:ascii="Times New Roman" w:hAnsi="Times New Roman" w:cs="Times New Roman"/>
          <w:sz w:val="18"/>
          <w:szCs w:val="18"/>
        </w:rPr>
      </w:pPr>
      <w:r w:rsidRPr="008C65B3">
        <w:rPr>
          <w:rFonts w:ascii="Times New Roman" w:hAnsi="Times New Roman" w:cs="Times New Roman"/>
          <w:b/>
          <w:sz w:val="18"/>
          <w:szCs w:val="18"/>
        </w:rPr>
        <w:t>Conclusion</w:t>
      </w:r>
      <w:r w:rsidRPr="008C65B3">
        <w:rPr>
          <w:rFonts w:ascii="Times New Roman" w:hAnsi="Times New Roman" w:cs="Times New Roman"/>
          <w:sz w:val="18"/>
          <w:szCs w:val="18"/>
        </w:rPr>
        <w:t>: The prevalence of prediabetes in coastal areas is (43.3%), in mountainous areas is (83.3%), in urban areas is (73.4%) so that prevention strategies are needed for both prediabetes and the progression of prediabetes to diabetes.</w:t>
      </w:r>
    </w:p>
    <w:p w:rsidR="00FC2152" w:rsidRPr="00FC2152" w:rsidRDefault="00FC2152" w:rsidP="00723396">
      <w:pPr>
        <w:pStyle w:val="NoSpacing"/>
        <w:jc w:val="both"/>
        <w:rPr>
          <w:rFonts w:ascii="Times New Roman" w:hAnsi="Times New Roman" w:cs="Times New Roman"/>
          <w:sz w:val="20"/>
          <w:szCs w:val="20"/>
          <w:lang w:bidi="ar-SA"/>
        </w:rPr>
      </w:pPr>
    </w:p>
    <w:p w:rsidR="00941D8F" w:rsidRPr="008C65B3" w:rsidRDefault="00941D8F" w:rsidP="00F92B09">
      <w:pPr>
        <w:rPr>
          <w:rFonts w:ascii="Times New Roman" w:hAnsi="Times New Roman" w:cs="Times New Roman"/>
          <w:b/>
          <w:sz w:val="20"/>
          <w:szCs w:val="20"/>
        </w:rPr>
      </w:pPr>
      <w:r w:rsidRPr="008C65B3">
        <w:rPr>
          <w:rFonts w:ascii="Times New Roman" w:hAnsi="Times New Roman" w:cs="Times New Roman"/>
          <w:b/>
          <w:sz w:val="20"/>
          <w:szCs w:val="20"/>
        </w:rPr>
        <w:t>Pendahuluan</w:t>
      </w:r>
    </w:p>
    <w:p w:rsidR="00941D8F" w:rsidRPr="008C65B3" w:rsidRDefault="005B2EF1" w:rsidP="00B56144">
      <w:pPr>
        <w:spacing w:line="240" w:lineRule="auto"/>
        <w:jc w:val="both"/>
        <w:rPr>
          <w:rFonts w:ascii="Times New Roman" w:hAnsi="Times New Roman" w:cs="Times New Roman"/>
          <w:color w:val="222222"/>
          <w:sz w:val="20"/>
          <w:szCs w:val="20"/>
          <w:shd w:val="clear" w:color="auto" w:fill="F8F9FA"/>
          <w:vertAlign w:val="superscript"/>
        </w:rPr>
      </w:pPr>
      <w:r w:rsidRPr="008C65B3">
        <w:rPr>
          <w:rFonts w:ascii="Times New Roman" w:hAnsi="Times New Roman" w:cs="Times New Roman"/>
          <w:color w:val="222222"/>
          <w:sz w:val="20"/>
          <w:szCs w:val="20"/>
          <w:shd w:val="clear" w:color="auto" w:fill="F8F9FA"/>
        </w:rPr>
        <w:t>P</w:t>
      </w:r>
      <w:r w:rsidR="00941D8F" w:rsidRPr="008C65B3">
        <w:rPr>
          <w:rFonts w:ascii="Times New Roman" w:hAnsi="Times New Roman" w:cs="Times New Roman"/>
          <w:color w:val="222222"/>
          <w:sz w:val="20"/>
          <w:szCs w:val="20"/>
          <w:shd w:val="clear" w:color="auto" w:fill="F8F9FA"/>
        </w:rPr>
        <w:t>ra-diabetes adalah suatu kondisi di mana darah mengandung glukosa di atas normal, tetapi belum memen</w:t>
      </w:r>
      <w:r w:rsidRPr="008C65B3">
        <w:rPr>
          <w:rFonts w:ascii="Times New Roman" w:hAnsi="Times New Roman" w:cs="Times New Roman"/>
          <w:color w:val="222222"/>
          <w:sz w:val="20"/>
          <w:szCs w:val="20"/>
          <w:shd w:val="clear" w:color="auto" w:fill="F8F9FA"/>
        </w:rPr>
        <w:t xml:space="preserve">uhi kriteria diabetes mellitus. </w:t>
      </w:r>
      <w:r w:rsidR="00941D8F" w:rsidRPr="008C65B3">
        <w:rPr>
          <w:rFonts w:ascii="Times New Roman" w:hAnsi="Times New Roman" w:cs="Times New Roman"/>
          <w:color w:val="222222"/>
          <w:sz w:val="20"/>
          <w:szCs w:val="20"/>
          <w:shd w:val="clear" w:color="auto" w:fill="F8F9FA"/>
        </w:rPr>
        <w:t xml:space="preserve"> Dua kondisi yang termasuk dalam pra-diabetes adalah IGT (Gangguan Glukosa Toleransi) dan IFG (Gangguan Glukosa Puasa) . Nilai standar untuk pra-diabetes adalah kadar glukosa darah 100 - 125 mg / dL untuk puasa glukosa darah (disebut IFG) atau 140 - 199 mg / dL untuk glukosa darah dua jam setelah beban glukosa (disebut IGT), atau keduanya.</w:t>
      </w:r>
      <w:r w:rsidR="00AD53B0" w:rsidRPr="008C65B3">
        <w:rPr>
          <w:rFonts w:ascii="Times New Roman" w:hAnsi="Times New Roman" w:cs="Times New Roman"/>
          <w:color w:val="222222"/>
          <w:sz w:val="20"/>
          <w:szCs w:val="20"/>
          <w:shd w:val="clear" w:color="auto" w:fill="F8F9FA"/>
          <w:vertAlign w:val="superscript"/>
        </w:rPr>
        <w:t>26</w:t>
      </w:r>
    </w:p>
    <w:p w:rsidR="005B2EF1" w:rsidRPr="008C65B3" w:rsidRDefault="00E2714E" w:rsidP="00B561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2" w:lineRule="atLeast"/>
        <w:jc w:val="both"/>
        <w:rPr>
          <w:rFonts w:ascii="Times New Roman" w:eastAsia="Times New Roman" w:hAnsi="Times New Roman" w:cs="Times New Roman"/>
          <w:color w:val="222222"/>
          <w:sz w:val="20"/>
          <w:szCs w:val="20"/>
          <w:lang w:val="id-ID" w:bidi="ar-SA"/>
        </w:rPr>
      </w:pPr>
      <w:r w:rsidRPr="008C65B3">
        <w:rPr>
          <w:rFonts w:ascii="Times New Roman" w:hAnsi="Times New Roman" w:cs="Times New Roman"/>
          <w:i/>
          <w:iCs/>
          <w:sz w:val="20"/>
          <w:szCs w:val="20"/>
        </w:rPr>
        <w:t xml:space="preserve">Impaired glucose tolerance (IGT) </w:t>
      </w:r>
      <w:r w:rsidRPr="008C65B3">
        <w:rPr>
          <w:rFonts w:ascii="Times New Roman" w:hAnsi="Times New Roman" w:cs="Times New Roman"/>
          <w:sz w:val="20"/>
          <w:szCs w:val="20"/>
        </w:rPr>
        <w:t xml:space="preserve">dan </w:t>
      </w:r>
      <w:r w:rsidRPr="008C65B3">
        <w:rPr>
          <w:rFonts w:ascii="Times New Roman" w:hAnsi="Times New Roman" w:cs="Times New Roman"/>
          <w:i/>
          <w:iCs/>
          <w:sz w:val="20"/>
          <w:szCs w:val="20"/>
        </w:rPr>
        <w:t xml:space="preserve">impaired fasting glucose </w:t>
      </w:r>
      <w:r w:rsidRPr="008C65B3">
        <w:rPr>
          <w:rFonts w:ascii="Times New Roman" w:hAnsi="Times New Roman" w:cs="Times New Roman"/>
          <w:sz w:val="20"/>
          <w:szCs w:val="20"/>
        </w:rPr>
        <w:t>(IFG) merupakan kondisi prediabetes yang mengawali penyakit diabetes. Prediabetes merupakan kondisi reversibel dan suatu tahapan transisi yang dapat bergerak ke dua arah, yaitu menuju kondisi normal atau kondisi diabetes, sedangkan kondisi diabetes sudah bersifat ireversibel</w:t>
      </w:r>
      <w:r w:rsidR="00264B80" w:rsidRPr="008C65B3">
        <w:rPr>
          <w:rFonts w:ascii="Times New Roman" w:hAnsi="Times New Roman" w:cs="Times New Roman"/>
          <w:sz w:val="20"/>
          <w:szCs w:val="20"/>
        </w:rPr>
        <w:t xml:space="preserve">. </w:t>
      </w:r>
      <w:r w:rsidR="00AD53B0" w:rsidRPr="008C65B3">
        <w:rPr>
          <w:rFonts w:ascii="Times New Roman" w:hAnsi="Times New Roman" w:cs="Times New Roman"/>
          <w:sz w:val="20"/>
          <w:szCs w:val="20"/>
          <w:vertAlign w:val="superscript"/>
        </w:rPr>
        <w:t>10</w:t>
      </w:r>
      <w:r w:rsidRPr="008C65B3">
        <w:rPr>
          <w:rFonts w:ascii="Times New Roman" w:hAnsi="Times New Roman" w:cs="Times New Roman"/>
          <w:sz w:val="20"/>
          <w:szCs w:val="20"/>
        </w:rPr>
        <w:t xml:space="preserve"> </w:t>
      </w:r>
    </w:p>
    <w:p w:rsidR="00264B80" w:rsidRPr="008C65B3" w:rsidRDefault="00264B80" w:rsidP="00B56144">
      <w:pPr>
        <w:pStyle w:val="Default"/>
        <w:jc w:val="both"/>
        <w:rPr>
          <w:sz w:val="20"/>
          <w:szCs w:val="20"/>
        </w:rPr>
      </w:pPr>
    </w:p>
    <w:p w:rsidR="00912BD8" w:rsidRPr="008C65B3" w:rsidRDefault="00264B80" w:rsidP="00B56144">
      <w:pPr>
        <w:jc w:val="both"/>
        <w:rPr>
          <w:rFonts w:ascii="Times New Roman" w:hAnsi="Times New Roman" w:cs="Times New Roman"/>
          <w:b/>
          <w:sz w:val="20"/>
          <w:szCs w:val="20"/>
        </w:rPr>
      </w:pPr>
      <w:r w:rsidRPr="008C65B3">
        <w:rPr>
          <w:rFonts w:ascii="Times New Roman" w:hAnsi="Times New Roman" w:cs="Times New Roman"/>
          <w:sz w:val="20"/>
          <w:szCs w:val="20"/>
        </w:rPr>
        <w:lastRenderedPageBreak/>
        <w:t>Resistensi insulin dan defek sel beta pankreas adalah patoge</w:t>
      </w:r>
      <w:r w:rsidR="00912BD8" w:rsidRPr="008C65B3">
        <w:rPr>
          <w:rFonts w:ascii="Times New Roman" w:hAnsi="Times New Roman" w:cs="Times New Roman"/>
          <w:sz w:val="20"/>
          <w:szCs w:val="20"/>
        </w:rPr>
        <w:t xml:space="preserve">nesis diabetes yang sudah mulai </w:t>
      </w:r>
      <w:r w:rsidRPr="008C65B3">
        <w:rPr>
          <w:rFonts w:ascii="Times New Roman" w:hAnsi="Times New Roman" w:cs="Times New Roman"/>
          <w:sz w:val="20"/>
          <w:szCs w:val="20"/>
        </w:rPr>
        <w:t>terjadi pada keadaan prediabetes. Hal tersebut yang dapat mempercepat perubahan dari kondisi prediabetes menjadi diabetes. Hampir 4-9% orang dengan prediabetes setiap tahunnya akan menjadi diabetes.</w:t>
      </w:r>
      <w:r w:rsidR="00AD53B0" w:rsidRPr="008C65B3">
        <w:rPr>
          <w:rFonts w:ascii="Times New Roman" w:hAnsi="Times New Roman" w:cs="Times New Roman"/>
          <w:sz w:val="20"/>
          <w:szCs w:val="20"/>
          <w:vertAlign w:val="superscript"/>
        </w:rPr>
        <w:t>4</w:t>
      </w:r>
    </w:p>
    <w:p w:rsidR="000D1863" w:rsidRPr="008C65B3" w:rsidRDefault="00912BD8" w:rsidP="003300CC">
      <w:pPr>
        <w:jc w:val="both"/>
        <w:rPr>
          <w:rFonts w:ascii="Times New Roman" w:hAnsi="Times New Roman" w:cs="Times New Roman"/>
          <w:sz w:val="20"/>
          <w:szCs w:val="20"/>
        </w:rPr>
      </w:pPr>
      <w:r w:rsidRPr="008C65B3">
        <w:rPr>
          <w:rFonts w:ascii="Times New Roman" w:hAnsi="Times New Roman" w:cs="Times New Roman"/>
          <w:sz w:val="20"/>
          <w:szCs w:val="20"/>
        </w:rPr>
        <w:t>Prevalensi prediabetes terus meningkat pesat di seluruh dunia dan diperkirakan &gt;470 juta orang akan mengalami prediabetes pada tahun 2030.</w:t>
      </w:r>
      <w:r w:rsidR="00AD53B0" w:rsidRPr="008C65B3">
        <w:rPr>
          <w:rFonts w:ascii="Times New Roman" w:hAnsi="Times New Roman" w:cs="Times New Roman"/>
          <w:sz w:val="20"/>
          <w:szCs w:val="20"/>
          <w:vertAlign w:val="superscript"/>
        </w:rPr>
        <w:t>27</w:t>
      </w:r>
      <w:r w:rsidRPr="008C65B3">
        <w:rPr>
          <w:rFonts w:ascii="Times New Roman" w:hAnsi="Times New Roman" w:cs="Times New Roman"/>
          <w:sz w:val="20"/>
          <w:szCs w:val="20"/>
        </w:rPr>
        <w:t xml:space="preserve"> </w:t>
      </w:r>
      <w:r w:rsidR="00273454" w:rsidRPr="008C65B3">
        <w:rPr>
          <w:rFonts w:ascii="Times New Roman" w:hAnsi="Times New Roman" w:cs="Times New Roman"/>
          <w:sz w:val="20"/>
          <w:szCs w:val="20"/>
        </w:rPr>
        <w:t>Negara berkembang melaporkan 9,2% populasi umum mengalami gula darah puasa terganggu (GDPT), 4,3% mengalami toleransi glukosa terganggu (TGT) dan 25,5% mengalami keduanya. Berdasarkan data penelitian, TGT memiliki risiko lebih besar untuk terjadinya diabetes dibandingkan GDPT.</w:t>
      </w:r>
      <w:r w:rsidR="00AD53B0" w:rsidRPr="008C65B3">
        <w:rPr>
          <w:rFonts w:ascii="Times New Roman" w:hAnsi="Times New Roman" w:cs="Times New Roman"/>
          <w:sz w:val="20"/>
          <w:szCs w:val="20"/>
          <w:vertAlign w:val="superscript"/>
        </w:rPr>
        <w:t>11</w:t>
      </w:r>
      <w:r w:rsidR="00273454" w:rsidRPr="008C65B3">
        <w:rPr>
          <w:rFonts w:ascii="Times New Roman" w:hAnsi="Times New Roman" w:cs="Times New Roman"/>
          <w:sz w:val="20"/>
          <w:szCs w:val="20"/>
        </w:rPr>
        <w:t xml:space="preserve"> </w:t>
      </w:r>
      <w:r w:rsidR="009328A1" w:rsidRPr="008C65B3">
        <w:rPr>
          <w:rFonts w:ascii="Times New Roman" w:hAnsi="Times New Roman" w:cs="Times New Roman"/>
          <w:sz w:val="20"/>
          <w:szCs w:val="20"/>
        </w:rPr>
        <w:t xml:space="preserve">Hasil penelitian Suwondo dan Pramono (2012), diprediksikan terdapat 10% penduduk di Indonesia (33 provinsi) mengalami prediabetes. </w:t>
      </w:r>
      <w:r w:rsidR="00394597" w:rsidRPr="008C65B3">
        <w:rPr>
          <w:rFonts w:ascii="Times New Roman" w:eastAsia="Times New Roman" w:hAnsi="Times New Roman" w:cs="Times New Roman"/>
          <w:color w:val="222222"/>
          <w:sz w:val="20"/>
          <w:szCs w:val="20"/>
          <w:lang w:val="id-ID"/>
        </w:rPr>
        <w:t xml:space="preserve">Menurut pedoman yang dikeluarkan oleh </w:t>
      </w:r>
      <w:r w:rsidR="00394597" w:rsidRPr="008C65B3">
        <w:rPr>
          <w:rFonts w:ascii="Times New Roman" w:eastAsia="TimesNewRomanPSMT" w:hAnsi="Times New Roman" w:cs="Times New Roman"/>
          <w:sz w:val="20"/>
          <w:szCs w:val="20"/>
        </w:rPr>
        <w:t>European Society for Cardiology (</w:t>
      </w:r>
      <w:r w:rsidR="00394597" w:rsidRPr="008C65B3">
        <w:rPr>
          <w:rFonts w:ascii="Times New Roman" w:eastAsia="Times New Roman" w:hAnsi="Times New Roman" w:cs="Times New Roman"/>
          <w:color w:val="222222"/>
          <w:sz w:val="20"/>
          <w:szCs w:val="20"/>
          <w:lang w:val="id-ID"/>
        </w:rPr>
        <w:t xml:space="preserve"> (ESC) dan</w:t>
      </w:r>
      <w:r w:rsidR="00394597" w:rsidRPr="008C65B3">
        <w:rPr>
          <w:rFonts w:ascii="Times New Roman" w:eastAsia="Times New Roman" w:hAnsi="Times New Roman" w:cs="Times New Roman"/>
          <w:color w:val="222222"/>
          <w:sz w:val="20"/>
          <w:szCs w:val="20"/>
        </w:rPr>
        <w:t xml:space="preserve"> </w:t>
      </w:r>
      <w:r w:rsidR="00394597" w:rsidRPr="008C65B3">
        <w:rPr>
          <w:rFonts w:ascii="Times New Roman" w:eastAsia="TimesNewRomanPSMT" w:hAnsi="Times New Roman" w:cs="Times New Roman"/>
          <w:sz w:val="20"/>
          <w:szCs w:val="20"/>
        </w:rPr>
        <w:t>European Association for the Study of Diabetes</w:t>
      </w:r>
      <w:r w:rsidR="00394597" w:rsidRPr="008C65B3">
        <w:rPr>
          <w:rFonts w:ascii="Times New Roman" w:eastAsia="Times New Roman" w:hAnsi="Times New Roman" w:cs="Times New Roman"/>
          <w:color w:val="222222"/>
          <w:sz w:val="20"/>
          <w:szCs w:val="20"/>
        </w:rPr>
        <w:t xml:space="preserve"> </w:t>
      </w:r>
      <w:r w:rsidR="00394597" w:rsidRPr="008C65B3">
        <w:rPr>
          <w:rFonts w:ascii="Times New Roman" w:eastAsia="Times New Roman" w:hAnsi="Times New Roman" w:cs="Times New Roman"/>
          <w:color w:val="222222"/>
          <w:sz w:val="20"/>
          <w:szCs w:val="20"/>
          <w:lang w:val="id-ID"/>
        </w:rPr>
        <w:t>(EASD)</w:t>
      </w:r>
      <w:r w:rsidR="00AD53B0" w:rsidRPr="008C65B3">
        <w:rPr>
          <w:rFonts w:ascii="Times New Roman" w:eastAsia="Times New Roman" w:hAnsi="Times New Roman" w:cs="Times New Roman"/>
          <w:color w:val="222222"/>
          <w:sz w:val="20"/>
          <w:szCs w:val="20"/>
          <w:vertAlign w:val="superscript"/>
        </w:rPr>
        <w:t>8</w:t>
      </w:r>
      <w:r w:rsidR="00394597" w:rsidRPr="008C65B3">
        <w:rPr>
          <w:rFonts w:ascii="Times New Roman" w:eastAsia="Times New Roman" w:hAnsi="Times New Roman" w:cs="Times New Roman"/>
          <w:color w:val="222222"/>
          <w:sz w:val="20"/>
          <w:szCs w:val="20"/>
        </w:rPr>
        <w:t xml:space="preserve"> 2007</w:t>
      </w:r>
      <w:r w:rsidR="00394597" w:rsidRPr="008C65B3">
        <w:rPr>
          <w:rFonts w:ascii="Times New Roman" w:eastAsia="Times New Roman" w:hAnsi="Times New Roman" w:cs="Times New Roman"/>
          <w:color w:val="222222"/>
          <w:sz w:val="20"/>
          <w:szCs w:val="20"/>
          <w:lang w:val="id-ID"/>
        </w:rPr>
        <w:t>, pra-diabetes</w:t>
      </w:r>
      <w:r w:rsidR="00394597" w:rsidRPr="008C65B3">
        <w:rPr>
          <w:rFonts w:ascii="Times New Roman" w:eastAsia="Times New Roman" w:hAnsi="Times New Roman" w:cs="Times New Roman"/>
          <w:color w:val="222222"/>
          <w:sz w:val="20"/>
          <w:szCs w:val="20"/>
        </w:rPr>
        <w:t xml:space="preserve"> </w:t>
      </w:r>
      <w:r w:rsidR="00394597" w:rsidRPr="008C65B3">
        <w:rPr>
          <w:rFonts w:ascii="Times New Roman" w:eastAsia="Times New Roman" w:hAnsi="Times New Roman" w:cs="Times New Roman"/>
          <w:color w:val="222222"/>
          <w:sz w:val="20"/>
          <w:szCs w:val="20"/>
          <w:lang w:val="id-ID"/>
        </w:rPr>
        <w:t>terkait dengan beberapa</w:t>
      </w:r>
      <w:r w:rsidR="00394597" w:rsidRPr="008C65B3">
        <w:rPr>
          <w:rFonts w:ascii="Times New Roman" w:eastAsia="Times New Roman" w:hAnsi="Times New Roman" w:cs="Times New Roman"/>
          <w:color w:val="222222"/>
          <w:sz w:val="20"/>
          <w:szCs w:val="20"/>
        </w:rPr>
        <w:t xml:space="preserve"> </w:t>
      </w:r>
      <w:r w:rsidR="00394597" w:rsidRPr="008C65B3">
        <w:rPr>
          <w:rFonts w:ascii="Times New Roman" w:eastAsia="Times New Roman" w:hAnsi="Times New Roman" w:cs="Times New Roman"/>
          <w:color w:val="222222"/>
          <w:sz w:val="20"/>
          <w:szCs w:val="20"/>
          <w:lang w:val="id-ID"/>
        </w:rPr>
        <w:t>kondisi, yaitu: usia tua,</w:t>
      </w:r>
      <w:r w:rsidR="00394597" w:rsidRPr="008C65B3">
        <w:rPr>
          <w:rFonts w:ascii="Times New Roman" w:eastAsia="Times New Roman" w:hAnsi="Times New Roman" w:cs="Times New Roman"/>
          <w:color w:val="222222"/>
          <w:sz w:val="20"/>
          <w:szCs w:val="20"/>
        </w:rPr>
        <w:t xml:space="preserve"> </w:t>
      </w:r>
      <w:r w:rsidR="00394597" w:rsidRPr="008C65B3">
        <w:rPr>
          <w:rFonts w:ascii="Times New Roman" w:eastAsia="Times New Roman" w:hAnsi="Times New Roman" w:cs="Times New Roman"/>
          <w:color w:val="222222"/>
          <w:sz w:val="20"/>
          <w:szCs w:val="20"/>
          <w:lang w:val="id-ID"/>
        </w:rPr>
        <w:t>obesitas, obesitas sentral, kurangnya aktivitas fisik, kekurangan</w:t>
      </w:r>
      <w:r w:rsidR="00394597" w:rsidRPr="008C65B3">
        <w:rPr>
          <w:rFonts w:ascii="Times New Roman" w:eastAsia="Times New Roman" w:hAnsi="Times New Roman" w:cs="Times New Roman"/>
          <w:color w:val="222222"/>
          <w:sz w:val="20"/>
          <w:szCs w:val="20"/>
        </w:rPr>
        <w:t xml:space="preserve"> </w:t>
      </w:r>
      <w:r w:rsidR="00D1415F" w:rsidRPr="008C65B3">
        <w:rPr>
          <w:rFonts w:ascii="Times New Roman" w:eastAsia="Times New Roman" w:hAnsi="Times New Roman" w:cs="Times New Roman"/>
          <w:color w:val="222222"/>
          <w:sz w:val="20"/>
          <w:szCs w:val="20"/>
          <w:lang w:val="id-ID"/>
        </w:rPr>
        <w:t xml:space="preserve">konsumsi buah dan sayur, </w:t>
      </w:r>
      <w:r w:rsidR="00394597" w:rsidRPr="008C65B3">
        <w:rPr>
          <w:rFonts w:ascii="Times New Roman" w:eastAsia="Times New Roman" w:hAnsi="Times New Roman" w:cs="Times New Roman"/>
          <w:color w:val="222222"/>
          <w:sz w:val="20"/>
          <w:szCs w:val="20"/>
        </w:rPr>
        <w:t>riwayat keturunan</w:t>
      </w:r>
      <w:r w:rsidR="00394597" w:rsidRPr="008C65B3">
        <w:rPr>
          <w:rFonts w:ascii="Times New Roman" w:eastAsia="Times New Roman" w:hAnsi="Times New Roman" w:cs="Times New Roman"/>
          <w:color w:val="222222"/>
          <w:sz w:val="20"/>
          <w:szCs w:val="20"/>
          <w:lang w:val="id-ID"/>
        </w:rPr>
        <w:t xml:space="preserve"> dan</w:t>
      </w:r>
      <w:r w:rsidR="00394597" w:rsidRPr="008C65B3">
        <w:rPr>
          <w:rFonts w:ascii="Times New Roman" w:eastAsia="Times New Roman" w:hAnsi="Times New Roman" w:cs="Times New Roman"/>
          <w:color w:val="222222"/>
          <w:sz w:val="20"/>
          <w:szCs w:val="20"/>
        </w:rPr>
        <w:t xml:space="preserve"> </w:t>
      </w:r>
      <w:r w:rsidR="00394597" w:rsidRPr="008C65B3">
        <w:rPr>
          <w:rFonts w:ascii="Times New Roman" w:eastAsia="Times New Roman" w:hAnsi="Times New Roman" w:cs="Times New Roman"/>
          <w:color w:val="222222"/>
          <w:sz w:val="20"/>
          <w:szCs w:val="20"/>
          <w:lang w:val="id-ID"/>
        </w:rPr>
        <w:t>hipertensi</w:t>
      </w:r>
      <w:r w:rsidR="00394597" w:rsidRPr="008C65B3">
        <w:rPr>
          <w:rFonts w:ascii="Times New Roman" w:eastAsia="Times New Roman" w:hAnsi="Times New Roman" w:cs="Times New Roman"/>
          <w:color w:val="222222"/>
          <w:sz w:val="20"/>
          <w:szCs w:val="20"/>
        </w:rPr>
        <w:t xml:space="preserve">. </w:t>
      </w:r>
      <w:r w:rsidR="00D1415F" w:rsidRPr="008C65B3">
        <w:rPr>
          <w:rFonts w:ascii="Times New Roman" w:eastAsia="Times New Roman" w:hAnsi="Times New Roman" w:cs="Times New Roman"/>
          <w:color w:val="222222"/>
          <w:sz w:val="20"/>
          <w:szCs w:val="20"/>
          <w:lang w:val="id-ID"/>
        </w:rPr>
        <w:t>Menurut Konsensus Pra-diabetes</w:t>
      </w:r>
      <w:r w:rsidR="00D1415F" w:rsidRPr="008C65B3">
        <w:rPr>
          <w:rFonts w:ascii="Times New Roman" w:eastAsia="Times New Roman" w:hAnsi="Times New Roman" w:cs="Times New Roman"/>
          <w:color w:val="222222"/>
          <w:sz w:val="20"/>
          <w:szCs w:val="20"/>
        </w:rPr>
        <w:t xml:space="preserve"> </w:t>
      </w:r>
      <w:r w:rsidR="00D1415F" w:rsidRPr="008C65B3">
        <w:rPr>
          <w:rFonts w:ascii="Times New Roman" w:eastAsia="Times New Roman" w:hAnsi="Times New Roman" w:cs="Times New Roman"/>
          <w:color w:val="222222"/>
          <w:sz w:val="20"/>
          <w:szCs w:val="20"/>
          <w:lang w:val="id-ID"/>
        </w:rPr>
        <w:t>dikeluarkan oleh American College of Endocrinology (ACE)</w:t>
      </w:r>
      <w:r w:rsidR="00D1415F" w:rsidRPr="008C65B3">
        <w:rPr>
          <w:rFonts w:ascii="Times New Roman" w:eastAsia="Times New Roman" w:hAnsi="Times New Roman" w:cs="Times New Roman"/>
          <w:color w:val="222222"/>
          <w:sz w:val="20"/>
          <w:szCs w:val="20"/>
        </w:rPr>
        <w:t xml:space="preserve"> </w:t>
      </w:r>
      <w:r w:rsidR="00D1415F" w:rsidRPr="008C65B3">
        <w:rPr>
          <w:rFonts w:ascii="Times New Roman" w:hAnsi="Times New Roman" w:cs="Times New Roman"/>
          <w:color w:val="222222"/>
          <w:sz w:val="20"/>
          <w:szCs w:val="20"/>
          <w:lang w:val="id-ID"/>
        </w:rPr>
        <w:t>dan American Association of Clinical Endocrinology</w:t>
      </w:r>
      <w:r w:rsidR="00D1415F" w:rsidRPr="008C65B3">
        <w:rPr>
          <w:rFonts w:ascii="Times New Roman" w:hAnsi="Times New Roman" w:cs="Times New Roman"/>
          <w:color w:val="222222"/>
          <w:sz w:val="20"/>
          <w:szCs w:val="20"/>
        </w:rPr>
        <w:t xml:space="preserve"> </w:t>
      </w:r>
      <w:r w:rsidR="00D1415F" w:rsidRPr="008C65B3">
        <w:rPr>
          <w:rFonts w:ascii="Times New Roman" w:hAnsi="Times New Roman" w:cs="Times New Roman"/>
          <w:color w:val="222222"/>
          <w:sz w:val="20"/>
          <w:szCs w:val="20"/>
          <w:lang w:val="id-ID"/>
        </w:rPr>
        <w:t xml:space="preserve">(AACE) </w:t>
      </w:r>
      <w:r w:rsidR="00AD53B0" w:rsidRPr="008C65B3">
        <w:rPr>
          <w:rFonts w:ascii="Times New Roman" w:hAnsi="Times New Roman" w:cs="Times New Roman"/>
          <w:color w:val="222222"/>
          <w:sz w:val="20"/>
          <w:szCs w:val="20"/>
          <w:vertAlign w:val="superscript"/>
        </w:rPr>
        <w:t>9</w:t>
      </w:r>
      <w:r w:rsidR="00D1415F" w:rsidRPr="008C65B3">
        <w:rPr>
          <w:rFonts w:ascii="Times New Roman" w:hAnsi="Times New Roman" w:cs="Times New Roman"/>
          <w:color w:val="222222"/>
          <w:sz w:val="20"/>
          <w:szCs w:val="20"/>
          <w:vertAlign w:val="superscript"/>
        </w:rPr>
        <w:t xml:space="preserve"> </w:t>
      </w:r>
      <w:r w:rsidR="00D1415F" w:rsidRPr="008C65B3">
        <w:rPr>
          <w:rFonts w:ascii="Times New Roman" w:hAnsi="Times New Roman" w:cs="Times New Roman"/>
          <w:color w:val="222222"/>
          <w:sz w:val="20"/>
          <w:szCs w:val="20"/>
          <w:lang w:val="id-ID"/>
        </w:rPr>
        <w:t>2008, faktor risiko diabetes dan pra-diabetes</w:t>
      </w:r>
      <w:r w:rsidR="00D1415F" w:rsidRPr="008C65B3">
        <w:rPr>
          <w:rFonts w:ascii="Times New Roman" w:hAnsi="Times New Roman" w:cs="Times New Roman"/>
          <w:color w:val="222222"/>
          <w:sz w:val="20"/>
          <w:szCs w:val="20"/>
        </w:rPr>
        <w:t xml:space="preserve"> </w:t>
      </w:r>
      <w:r w:rsidR="00D1415F" w:rsidRPr="008C65B3">
        <w:rPr>
          <w:rFonts w:ascii="Times New Roman" w:hAnsi="Times New Roman" w:cs="Times New Roman"/>
          <w:color w:val="222222"/>
          <w:sz w:val="20"/>
          <w:szCs w:val="20"/>
          <w:lang w:val="id-ID"/>
        </w:rPr>
        <w:t>adalah: riwayat keluarga, penyakit jantung koroner, kelebihan berat badan</w:t>
      </w:r>
      <w:r w:rsidR="00D1415F" w:rsidRPr="008C65B3">
        <w:rPr>
          <w:rFonts w:ascii="Times New Roman" w:hAnsi="Times New Roman" w:cs="Times New Roman"/>
          <w:color w:val="222222"/>
          <w:sz w:val="20"/>
          <w:szCs w:val="20"/>
        </w:rPr>
        <w:t xml:space="preserve"> </w:t>
      </w:r>
      <w:r w:rsidR="00D1415F" w:rsidRPr="008C65B3">
        <w:rPr>
          <w:rFonts w:ascii="Times New Roman" w:hAnsi="Times New Roman" w:cs="Times New Roman"/>
          <w:color w:val="222222"/>
          <w:sz w:val="20"/>
          <w:szCs w:val="20"/>
          <w:lang w:val="id-ID"/>
        </w:rPr>
        <w:t>dan obesitas, gaya hidup yang tidak sehat dan hipertensi</w:t>
      </w:r>
      <w:r w:rsidR="00D1415F" w:rsidRPr="008C65B3">
        <w:rPr>
          <w:rFonts w:ascii="Times New Roman" w:hAnsi="Times New Roman" w:cs="Times New Roman"/>
          <w:color w:val="222222"/>
          <w:sz w:val="20"/>
          <w:szCs w:val="20"/>
        </w:rPr>
        <w:t xml:space="preserve">. </w:t>
      </w:r>
      <w:r w:rsidR="00FC2309" w:rsidRPr="008C65B3">
        <w:rPr>
          <w:rFonts w:ascii="Times New Roman" w:hAnsi="Times New Roman" w:cs="Times New Roman"/>
          <w:sz w:val="20"/>
          <w:szCs w:val="20"/>
        </w:rPr>
        <w:t xml:space="preserve">Faktor-faktor lain yang juga diperkirakan berhubungan dengan kejadian prediabetes dan diabetes yaitu riwayat diabetes dalam keluarga, </w:t>
      </w:r>
      <w:r w:rsidR="00FC2309" w:rsidRPr="008C65B3">
        <w:rPr>
          <w:rFonts w:ascii="Times New Roman" w:hAnsi="Times New Roman" w:cs="Times New Roman"/>
          <w:i/>
          <w:iCs/>
          <w:sz w:val="20"/>
          <w:szCs w:val="20"/>
        </w:rPr>
        <w:t xml:space="preserve">overweight </w:t>
      </w:r>
      <w:r w:rsidR="00FC2309" w:rsidRPr="008C65B3">
        <w:rPr>
          <w:rFonts w:ascii="Times New Roman" w:hAnsi="Times New Roman" w:cs="Times New Roman"/>
          <w:sz w:val="20"/>
          <w:szCs w:val="20"/>
        </w:rPr>
        <w:t xml:space="preserve">atau obesitas, </w:t>
      </w:r>
      <w:r w:rsidR="00FC2309" w:rsidRPr="008C65B3">
        <w:rPr>
          <w:rFonts w:ascii="Times New Roman" w:hAnsi="Times New Roman" w:cs="Times New Roman"/>
          <w:i/>
          <w:iCs/>
          <w:sz w:val="20"/>
          <w:szCs w:val="20"/>
        </w:rPr>
        <w:t xml:space="preserve">lifestyle </w:t>
      </w:r>
      <w:r w:rsidR="00FC2309" w:rsidRPr="008C65B3">
        <w:rPr>
          <w:rFonts w:ascii="Times New Roman" w:hAnsi="Times New Roman" w:cs="Times New Roman"/>
          <w:sz w:val="20"/>
          <w:szCs w:val="20"/>
        </w:rPr>
        <w:t>yang berisiko (</w:t>
      </w:r>
      <w:r w:rsidR="00FC2309" w:rsidRPr="008C65B3">
        <w:rPr>
          <w:rFonts w:ascii="Times New Roman" w:hAnsi="Times New Roman" w:cs="Times New Roman"/>
          <w:i/>
          <w:iCs/>
          <w:sz w:val="20"/>
          <w:szCs w:val="20"/>
        </w:rPr>
        <w:t>sedentary</w:t>
      </w:r>
      <w:r w:rsidR="00FC2309" w:rsidRPr="008C65B3">
        <w:rPr>
          <w:rFonts w:ascii="Times New Roman" w:hAnsi="Times New Roman" w:cs="Times New Roman"/>
          <w:sz w:val="20"/>
          <w:szCs w:val="20"/>
        </w:rPr>
        <w:t xml:space="preserve">), pernah sebelumnya diketahui IGT atau IFG dan / atau sindroma metabolik, hipertensi, dislipidemia, riwayat diabetes gestasional, riwayat melahirkan anak &gt; 4 kg, </w:t>
      </w:r>
      <w:r w:rsidR="00FC2309" w:rsidRPr="008C65B3">
        <w:rPr>
          <w:rFonts w:ascii="Times New Roman" w:hAnsi="Times New Roman" w:cs="Times New Roman"/>
          <w:i/>
          <w:iCs/>
          <w:sz w:val="20"/>
          <w:szCs w:val="20"/>
        </w:rPr>
        <w:t>polycystic ovary syndrome</w:t>
      </w:r>
      <w:r w:rsidR="00FC2309" w:rsidRPr="008C65B3">
        <w:rPr>
          <w:rFonts w:ascii="Times New Roman" w:hAnsi="Times New Roman" w:cs="Times New Roman"/>
          <w:sz w:val="20"/>
          <w:szCs w:val="20"/>
        </w:rPr>
        <w:t>, mengkonsumsi terapi antipsikotik untuk skizofren.</w:t>
      </w:r>
      <w:r w:rsidR="00AD53B0" w:rsidRPr="008C65B3">
        <w:rPr>
          <w:rFonts w:ascii="Times New Roman" w:hAnsi="Times New Roman" w:cs="Times New Roman"/>
          <w:sz w:val="20"/>
          <w:szCs w:val="20"/>
          <w:vertAlign w:val="superscript"/>
        </w:rPr>
        <w:t>9</w:t>
      </w:r>
      <w:r w:rsidR="00FC2309" w:rsidRPr="008C65B3">
        <w:rPr>
          <w:rFonts w:ascii="Times New Roman" w:hAnsi="Times New Roman" w:cs="Times New Roman"/>
          <w:sz w:val="20"/>
          <w:szCs w:val="20"/>
        </w:rPr>
        <w:t xml:space="preserve"> </w:t>
      </w:r>
      <w:r w:rsidR="003300CC" w:rsidRPr="008C65B3">
        <w:rPr>
          <w:rFonts w:ascii="Times New Roman" w:hAnsi="Times New Roman" w:cs="Times New Roman"/>
          <w:sz w:val="20"/>
          <w:szCs w:val="20"/>
        </w:rPr>
        <w:t>Prevalensi diabetes se-Indonesia diduduki oleh provinsi Jawa Timur karena diabetes merupakan 10 besar penyakit terbanyak. Jumlah penderita DM menurut Riskesdas mengalami peningkatan dari tahun 2007 sampai tahun 2013 sebesar 330.512 penderita.</w:t>
      </w:r>
      <w:r w:rsidR="00AD53B0" w:rsidRPr="008C65B3">
        <w:rPr>
          <w:rFonts w:ascii="Times New Roman" w:hAnsi="Times New Roman" w:cs="Times New Roman"/>
          <w:sz w:val="20"/>
          <w:szCs w:val="20"/>
          <w:vertAlign w:val="superscript"/>
        </w:rPr>
        <w:t>13</w:t>
      </w:r>
      <w:r w:rsidR="003300CC" w:rsidRPr="008C65B3">
        <w:rPr>
          <w:rFonts w:ascii="Times New Roman" w:hAnsi="Times New Roman" w:cs="Times New Roman"/>
          <w:sz w:val="20"/>
          <w:szCs w:val="20"/>
        </w:rPr>
        <w:t xml:space="preserve"> </w:t>
      </w:r>
      <w:r w:rsidR="00E27205" w:rsidRPr="008C65B3">
        <w:rPr>
          <w:rFonts w:ascii="Times New Roman" w:hAnsi="Times New Roman" w:cs="Times New Roman"/>
          <w:sz w:val="20"/>
          <w:szCs w:val="20"/>
        </w:rPr>
        <w:t>Data dari dinas kesehatan kabupaten Probolinggo  proporsi penyakit Diabetes di Probolinggo pada tahun 2015 adalah 3539 pada tahun 2016 meningkat menjadi 3622.</w:t>
      </w:r>
      <w:r w:rsidR="00B56144" w:rsidRPr="008C65B3">
        <w:rPr>
          <w:rFonts w:ascii="Times New Roman" w:hAnsi="Times New Roman" w:cs="Times New Roman"/>
          <w:sz w:val="20"/>
          <w:szCs w:val="20"/>
        </w:rPr>
        <w:t xml:space="preserve"> </w:t>
      </w:r>
      <w:r w:rsidR="000D1863" w:rsidRPr="008C65B3">
        <w:rPr>
          <w:rFonts w:ascii="Times New Roman" w:hAnsi="Times New Roman" w:cs="Times New Roman"/>
          <w:sz w:val="20"/>
          <w:szCs w:val="20"/>
        </w:rPr>
        <w:t>Di daerah perkotaan di Indonesia, prevalensi sindrom metabolik mencapai 28,4%,</w:t>
      </w:r>
      <w:r w:rsidR="00AD53B0" w:rsidRPr="008C65B3">
        <w:rPr>
          <w:rFonts w:ascii="Times New Roman" w:hAnsi="Times New Roman" w:cs="Times New Roman"/>
          <w:sz w:val="20"/>
          <w:szCs w:val="20"/>
          <w:vertAlign w:val="superscript"/>
        </w:rPr>
        <w:t>23</w:t>
      </w:r>
      <w:r w:rsidR="003300CC" w:rsidRPr="008C65B3">
        <w:rPr>
          <w:rFonts w:ascii="Times New Roman" w:hAnsi="Times New Roman" w:cs="Times New Roman"/>
          <w:sz w:val="20"/>
          <w:szCs w:val="20"/>
          <w:vertAlign w:val="superscript"/>
        </w:rPr>
        <w:t xml:space="preserve"> </w:t>
      </w:r>
      <w:r w:rsidR="000D1863" w:rsidRPr="008C65B3">
        <w:rPr>
          <w:rFonts w:ascii="Times New Roman" w:hAnsi="Times New Roman" w:cs="Times New Roman"/>
          <w:sz w:val="20"/>
          <w:szCs w:val="20"/>
        </w:rPr>
        <w:t>sedangkan di daerah pedesaan prevalensinya adalah 18,2%.</w:t>
      </w:r>
      <w:r w:rsidR="00AD53B0" w:rsidRPr="008C65B3">
        <w:rPr>
          <w:rFonts w:ascii="Times New Roman" w:hAnsi="Times New Roman" w:cs="Times New Roman"/>
          <w:sz w:val="20"/>
          <w:szCs w:val="20"/>
          <w:vertAlign w:val="superscript"/>
        </w:rPr>
        <w:t>7</w:t>
      </w:r>
      <w:r w:rsidR="000D1863" w:rsidRPr="008C65B3">
        <w:rPr>
          <w:rFonts w:ascii="Times New Roman" w:hAnsi="Times New Roman" w:cs="Times New Roman"/>
          <w:sz w:val="20"/>
          <w:szCs w:val="20"/>
        </w:rPr>
        <w:t xml:space="preserve"> Keberagaman penduduk, faktor sosial ekonomi, mata pencaharian, pendidikan, dan pengetahuan tentang kesehatan bervariasi di setiap daerah. Heterogenitas ini mencerminkan karakteristik tertentu, terutama terkait adanya penyakit penyakit metabolik. Mempertimbangkan adanya pengaruh lingkungan dan gaya hidup tertentu dalam terjadinya sindrom metabolik, penelitian ini bertujuan untuk mengetahui prevalensi, karakteristik dan faktor resiko prediabetes di pegunungan, pesisir dan perkotaan. Daerah pegunungan diwakili desa Wonotoro kawasan pegunungan Bromo yang mayoritas penduduknya suku Tengger, daerah pesisir diwakili pulau Gili Ketapang Probolinggo yang mayoritas penduduknya adalah suku Madura dan daerah perkotaan diwakili kelurahan Kebonsari kota Surabaya.</w:t>
      </w:r>
    </w:p>
    <w:p w:rsidR="009328A1" w:rsidRPr="00F52676" w:rsidRDefault="009328A1" w:rsidP="00B56144">
      <w:pPr>
        <w:pStyle w:val="Default"/>
        <w:jc w:val="both"/>
      </w:pPr>
    </w:p>
    <w:p w:rsidR="00FC2309" w:rsidRPr="008C65B3" w:rsidRDefault="00B56144" w:rsidP="00B56144">
      <w:pPr>
        <w:pStyle w:val="Default"/>
        <w:jc w:val="both"/>
        <w:rPr>
          <w:b/>
          <w:sz w:val="20"/>
          <w:szCs w:val="20"/>
        </w:rPr>
      </w:pPr>
      <w:r w:rsidRPr="008C65B3">
        <w:rPr>
          <w:b/>
          <w:sz w:val="20"/>
          <w:szCs w:val="20"/>
        </w:rPr>
        <w:t>Bahan dan Metoda</w:t>
      </w:r>
    </w:p>
    <w:p w:rsidR="00B739F4" w:rsidRPr="008C65B3" w:rsidRDefault="00B739F4" w:rsidP="00B739F4">
      <w:pPr>
        <w:autoSpaceDE w:val="0"/>
        <w:autoSpaceDN w:val="0"/>
        <w:adjustRightInd w:val="0"/>
        <w:spacing w:after="0" w:line="240" w:lineRule="auto"/>
        <w:jc w:val="both"/>
        <w:rPr>
          <w:rStyle w:val="A7"/>
          <w:rFonts w:ascii="Times New Roman" w:hAnsi="Times New Roman" w:cs="Times New Roman"/>
          <w:sz w:val="20"/>
          <w:szCs w:val="20"/>
        </w:rPr>
      </w:pPr>
      <w:r w:rsidRPr="008C65B3">
        <w:rPr>
          <w:rStyle w:val="A7"/>
          <w:rFonts w:ascii="Times New Roman" w:hAnsi="Times New Roman" w:cs="Times New Roman"/>
          <w:sz w:val="20"/>
          <w:szCs w:val="20"/>
        </w:rPr>
        <w:t xml:space="preserve">Seleksi dilakukan untuk memilah responden berusia </w:t>
      </w:r>
      <w:r w:rsidRPr="008C65B3">
        <w:rPr>
          <w:rStyle w:val="A6"/>
          <w:rFonts w:ascii="Times New Roman" w:hAnsi="Times New Roman" w:cs="Times New Roman"/>
          <w:sz w:val="20"/>
          <w:szCs w:val="20"/>
        </w:rPr>
        <w:t>≥</w:t>
      </w:r>
      <w:r w:rsidRPr="008C65B3">
        <w:rPr>
          <w:rStyle w:val="A7"/>
          <w:rFonts w:ascii="Times New Roman" w:hAnsi="Times New Roman" w:cs="Times New Roman"/>
          <w:sz w:val="20"/>
          <w:szCs w:val="20"/>
        </w:rPr>
        <w:t xml:space="preserve">40 tahun yang menjalani pemeriksaan gula darah Acak (GDA). Data yang sudah diseleksi menurut kriteria didapatkan jumlah sampel yang bisa dianalisis sebanyak 90 yang terbagi menjadi 30 responden dari wilayah pegunungan, 30 responden dari wilayah pesisir dan 30 responden dari wilayah perkotaan. </w:t>
      </w:r>
      <w:r w:rsidRPr="008C65B3">
        <w:rPr>
          <w:rFonts w:ascii="Times New Roman" w:hAnsi="Times New Roman" w:cs="Times New Roman"/>
          <w:sz w:val="20"/>
          <w:szCs w:val="20"/>
          <w:lang w:bidi="ar-SA"/>
        </w:rPr>
        <w:t xml:space="preserve">Penelitian ini adalah penelitian observasional dengan teknik pengambilan data </w:t>
      </w:r>
      <w:r w:rsidRPr="008C65B3">
        <w:rPr>
          <w:rFonts w:ascii="Times New Roman" w:eastAsia="Calibri-Italic" w:hAnsi="Times New Roman" w:cs="Times New Roman"/>
          <w:i/>
          <w:iCs/>
          <w:sz w:val="20"/>
          <w:szCs w:val="20"/>
          <w:lang w:bidi="ar-SA"/>
        </w:rPr>
        <w:t>purposive</w:t>
      </w:r>
      <w:r w:rsidRPr="008C65B3">
        <w:rPr>
          <w:rFonts w:ascii="Times New Roman" w:hAnsi="Times New Roman" w:cs="Times New Roman"/>
          <w:sz w:val="20"/>
          <w:szCs w:val="20"/>
          <w:lang w:bidi="ar-SA"/>
        </w:rPr>
        <w:t xml:space="preserve"> </w:t>
      </w:r>
      <w:r w:rsidRPr="008C65B3">
        <w:rPr>
          <w:rFonts w:ascii="Times New Roman" w:eastAsia="Calibri-Italic" w:hAnsi="Times New Roman" w:cs="Times New Roman"/>
          <w:i/>
          <w:iCs/>
          <w:sz w:val="20"/>
          <w:szCs w:val="20"/>
          <w:lang w:bidi="ar-SA"/>
        </w:rPr>
        <w:t>sampling</w:t>
      </w:r>
      <w:r w:rsidRPr="008C65B3">
        <w:rPr>
          <w:rFonts w:ascii="Times New Roman" w:hAnsi="Times New Roman" w:cs="Times New Roman"/>
          <w:sz w:val="20"/>
          <w:szCs w:val="20"/>
          <w:lang w:bidi="ar-SA"/>
        </w:rPr>
        <w:t xml:space="preserve">. Subjek yang diambil berusia di atas 40 tahun. Data diambil pada 17 Juni 2019 didesa Wonotoro kawasan pegunungan Bromo, Sukapura, Probolinggo sebagai wilayah pedesaan, pada tanggal 18 Juni 2019 di pulau Gili Ketapang, Sumberasih, Probolinngo sebagai wilayah pesisir, pada tanggal 20 Juni 2019 di kelurahan kebonsari, Wonocolo, kota Surabaya. Kadar glukosa darah acak, asam urat, dan kolesterol diukur menggunakan GCU </w:t>
      </w:r>
      <w:r w:rsidRPr="008C65B3">
        <w:rPr>
          <w:rFonts w:ascii="Times New Roman" w:eastAsia="Calibri-Italic" w:hAnsi="Times New Roman" w:cs="Times New Roman"/>
          <w:i/>
          <w:iCs/>
          <w:sz w:val="20"/>
          <w:szCs w:val="20"/>
          <w:lang w:bidi="ar-SA"/>
        </w:rPr>
        <w:t xml:space="preserve">Multi-Function Monitoring System </w:t>
      </w:r>
      <w:r w:rsidRPr="008C65B3">
        <w:rPr>
          <w:rFonts w:ascii="Times New Roman" w:hAnsi="Times New Roman" w:cs="Times New Roman"/>
          <w:sz w:val="20"/>
          <w:szCs w:val="20"/>
          <w:lang w:bidi="ar-SA"/>
        </w:rPr>
        <w:t xml:space="preserve">(EasyTouch®). Subjek diminta untuk puasa 8 jam sebelum pemeriksaan. Pengukuran tekanan darah dilakukan menggunakan </w:t>
      </w:r>
      <w:r w:rsidRPr="008C65B3">
        <w:rPr>
          <w:rFonts w:ascii="Times New Roman" w:eastAsia="Calibri-Italic" w:hAnsi="Times New Roman" w:cs="Times New Roman"/>
          <w:i/>
          <w:iCs/>
          <w:sz w:val="20"/>
          <w:szCs w:val="20"/>
          <w:lang w:bidi="ar-SA"/>
        </w:rPr>
        <w:t>sphygmomanometer</w:t>
      </w:r>
      <w:r w:rsidRPr="008C65B3">
        <w:rPr>
          <w:rFonts w:ascii="Times New Roman" w:hAnsi="Times New Roman" w:cs="Times New Roman"/>
          <w:sz w:val="20"/>
          <w:szCs w:val="20"/>
          <w:lang w:bidi="ar-SA"/>
        </w:rPr>
        <w:t xml:space="preserve"> raksa dan otomatis (Omron, HEM). Pengambilan data faktor resiko prediabetes dilakukan menggunakan kuesioner faktor resiko prediabetes menurut ADA dengan metode wawancara. Responden juga dilakukan pengukuran tinggi badan dan berat badan untuk menentukan IMT. Responden dengan kadar gula darah ≥ 200 mg/dL dilanjutkan dengan pemeriksaan HbA1c. </w:t>
      </w:r>
      <w:r w:rsidRPr="008C65B3">
        <w:rPr>
          <w:rStyle w:val="A7"/>
          <w:rFonts w:ascii="Times New Roman" w:hAnsi="Times New Roman" w:cs="Times New Roman"/>
          <w:sz w:val="20"/>
          <w:szCs w:val="20"/>
        </w:rPr>
        <w:t xml:space="preserve">Analisis bivariat dilakukan melalui uji </w:t>
      </w:r>
      <w:r w:rsidRPr="008C65B3">
        <w:rPr>
          <w:rStyle w:val="A7"/>
          <w:rFonts w:ascii="Times New Roman" w:hAnsi="Times New Roman" w:cs="Times New Roman"/>
          <w:i/>
          <w:iCs/>
          <w:sz w:val="20"/>
          <w:szCs w:val="20"/>
        </w:rPr>
        <w:t xml:space="preserve">chi-square, </w:t>
      </w:r>
      <w:r w:rsidRPr="008C65B3">
        <w:rPr>
          <w:rStyle w:val="A7"/>
          <w:rFonts w:ascii="Times New Roman" w:hAnsi="Times New Roman" w:cs="Times New Roman"/>
          <w:sz w:val="20"/>
          <w:szCs w:val="20"/>
        </w:rPr>
        <w:t>tingkat kebermaknaan ditentukan pada nilai p &lt;0,05.</w:t>
      </w:r>
    </w:p>
    <w:p w:rsidR="00B739F4" w:rsidRPr="008C65B3" w:rsidRDefault="00B739F4" w:rsidP="00B739F4">
      <w:pPr>
        <w:autoSpaceDE w:val="0"/>
        <w:autoSpaceDN w:val="0"/>
        <w:adjustRightInd w:val="0"/>
        <w:spacing w:after="0" w:line="240" w:lineRule="auto"/>
        <w:jc w:val="both"/>
        <w:rPr>
          <w:rStyle w:val="A7"/>
          <w:rFonts w:ascii="Times New Roman" w:hAnsi="Times New Roman" w:cs="Times New Roman"/>
          <w:sz w:val="20"/>
          <w:szCs w:val="20"/>
        </w:rPr>
      </w:pPr>
    </w:p>
    <w:p w:rsidR="00B739F4" w:rsidRPr="008C65B3" w:rsidRDefault="00B739F4" w:rsidP="00B739F4">
      <w:pPr>
        <w:autoSpaceDE w:val="0"/>
        <w:autoSpaceDN w:val="0"/>
        <w:adjustRightInd w:val="0"/>
        <w:spacing w:after="0" w:line="240" w:lineRule="auto"/>
        <w:jc w:val="both"/>
        <w:rPr>
          <w:rStyle w:val="A7"/>
          <w:rFonts w:ascii="Times New Roman" w:hAnsi="Times New Roman" w:cs="Times New Roman"/>
          <w:b/>
          <w:sz w:val="20"/>
          <w:szCs w:val="20"/>
        </w:rPr>
      </w:pPr>
      <w:r w:rsidRPr="008C65B3">
        <w:rPr>
          <w:rStyle w:val="A7"/>
          <w:rFonts w:ascii="Times New Roman" w:hAnsi="Times New Roman" w:cs="Times New Roman"/>
          <w:b/>
          <w:sz w:val="20"/>
          <w:szCs w:val="20"/>
        </w:rPr>
        <w:t>Hasil</w:t>
      </w:r>
    </w:p>
    <w:p w:rsidR="000208AE" w:rsidRPr="008C65B3" w:rsidRDefault="000208AE" w:rsidP="00B47B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7"/>
          <w:rFonts w:ascii="Times New Roman" w:eastAsia="Times New Roman" w:hAnsi="Times New Roman" w:cs="Times New Roman"/>
          <w:color w:val="222222"/>
          <w:sz w:val="20"/>
          <w:szCs w:val="20"/>
          <w:lang w:bidi="ar-SA"/>
        </w:rPr>
      </w:pPr>
      <w:r w:rsidRPr="008C65B3">
        <w:rPr>
          <w:rFonts w:ascii="Times New Roman" w:eastAsia="Times New Roman" w:hAnsi="Times New Roman" w:cs="Times New Roman"/>
          <w:color w:val="222222"/>
          <w:sz w:val="20"/>
          <w:szCs w:val="20"/>
          <w:lang w:val="id-ID" w:bidi="ar-SA"/>
        </w:rPr>
        <w:lastRenderedPageBreak/>
        <w:t xml:space="preserve">Dari </w:t>
      </w:r>
      <w:r w:rsidR="00BD36B3" w:rsidRPr="008C65B3">
        <w:rPr>
          <w:rFonts w:ascii="Times New Roman" w:eastAsia="Times New Roman" w:hAnsi="Times New Roman" w:cs="Times New Roman"/>
          <w:color w:val="222222"/>
          <w:sz w:val="20"/>
          <w:szCs w:val="20"/>
          <w:lang w:bidi="ar-SA"/>
        </w:rPr>
        <w:t>90</w:t>
      </w:r>
      <w:r w:rsidRPr="008C65B3">
        <w:rPr>
          <w:rFonts w:ascii="Times New Roman" w:eastAsia="Times New Roman" w:hAnsi="Times New Roman" w:cs="Times New Roman"/>
          <w:color w:val="222222"/>
          <w:sz w:val="20"/>
          <w:szCs w:val="20"/>
          <w:lang w:val="id-ID" w:bidi="ar-SA"/>
        </w:rPr>
        <w:t xml:space="preserve"> subjek, yang menjalankan prosedur</w:t>
      </w:r>
      <w:r w:rsidRPr="008C65B3">
        <w:rPr>
          <w:rFonts w:ascii="Times New Roman" w:eastAsia="Times New Roman" w:hAnsi="Times New Roman" w:cs="Times New Roman"/>
          <w:color w:val="222222"/>
          <w:sz w:val="20"/>
          <w:szCs w:val="20"/>
          <w:lang w:bidi="ar-SA"/>
        </w:rPr>
        <w:t xml:space="preserve"> screening dan pemeriksaan</w:t>
      </w:r>
      <w:r w:rsidR="00BD36B3" w:rsidRPr="008C65B3">
        <w:rPr>
          <w:rFonts w:ascii="Times New Roman" w:eastAsia="Times New Roman" w:hAnsi="Times New Roman" w:cs="Times New Roman"/>
          <w:color w:val="222222"/>
          <w:sz w:val="20"/>
          <w:szCs w:val="20"/>
          <w:lang w:bidi="ar-SA"/>
        </w:rPr>
        <w:t xml:space="preserve"> </w:t>
      </w:r>
      <w:r w:rsidRPr="008C65B3">
        <w:rPr>
          <w:rFonts w:ascii="Times New Roman" w:eastAsia="Times New Roman" w:hAnsi="Times New Roman" w:cs="Times New Roman"/>
          <w:color w:val="222222"/>
          <w:sz w:val="20"/>
          <w:szCs w:val="20"/>
          <w:lang w:bidi="ar-SA"/>
        </w:rPr>
        <w:t xml:space="preserve">memenuhi kriteria inklusi penelitian. </w:t>
      </w:r>
      <w:r w:rsidRPr="008C65B3">
        <w:rPr>
          <w:rFonts w:ascii="Times New Roman" w:eastAsia="Times New Roman" w:hAnsi="Times New Roman" w:cs="Times New Roman"/>
          <w:color w:val="222222"/>
          <w:sz w:val="20"/>
          <w:szCs w:val="20"/>
          <w:lang w:val="id-ID" w:bidi="ar-SA"/>
        </w:rPr>
        <w:t xml:space="preserve">Dari </w:t>
      </w:r>
      <w:r w:rsidR="00BD36B3" w:rsidRPr="008C65B3">
        <w:rPr>
          <w:rFonts w:ascii="Times New Roman" w:eastAsia="Times New Roman" w:hAnsi="Times New Roman" w:cs="Times New Roman"/>
          <w:color w:val="222222"/>
          <w:sz w:val="20"/>
          <w:szCs w:val="20"/>
          <w:lang w:bidi="ar-SA"/>
        </w:rPr>
        <w:t>9</w:t>
      </w:r>
      <w:r w:rsidRPr="008C65B3">
        <w:rPr>
          <w:rFonts w:ascii="Times New Roman" w:eastAsia="Times New Roman" w:hAnsi="Times New Roman" w:cs="Times New Roman"/>
          <w:color w:val="222222"/>
          <w:sz w:val="20"/>
          <w:szCs w:val="20"/>
          <w:lang w:bidi="ar-SA"/>
        </w:rPr>
        <w:t>0,</w:t>
      </w:r>
      <w:r w:rsidRPr="008C65B3">
        <w:rPr>
          <w:rFonts w:ascii="Times New Roman" w:eastAsia="Times New Roman" w:hAnsi="Times New Roman" w:cs="Times New Roman"/>
          <w:color w:val="222222"/>
          <w:sz w:val="20"/>
          <w:szCs w:val="20"/>
          <w:lang w:val="id-ID" w:bidi="ar-SA"/>
        </w:rPr>
        <w:t xml:space="preserve"> </w:t>
      </w:r>
      <w:r w:rsidRPr="008C65B3">
        <w:rPr>
          <w:rFonts w:ascii="Times New Roman" w:eastAsia="Times New Roman" w:hAnsi="Times New Roman" w:cs="Times New Roman"/>
          <w:color w:val="222222"/>
          <w:sz w:val="20"/>
          <w:szCs w:val="20"/>
          <w:lang w:bidi="ar-SA"/>
        </w:rPr>
        <w:t xml:space="preserve">terdistribusi 30 subjek dari wilayah pegunungan, 30 subjek dari wilayah pesisir dan 30 subjek dari wilayah perkotaan, </w:t>
      </w:r>
      <w:r w:rsidRPr="008C65B3">
        <w:rPr>
          <w:rFonts w:ascii="Times New Roman" w:eastAsia="Times New Roman" w:hAnsi="Times New Roman" w:cs="Times New Roman"/>
          <w:color w:val="222222"/>
          <w:sz w:val="20"/>
          <w:szCs w:val="20"/>
          <w:lang w:val="id-ID" w:bidi="ar-SA"/>
        </w:rPr>
        <w:t xml:space="preserve">dibagi lagi berdasarkan </w:t>
      </w:r>
      <w:r w:rsidRPr="008C65B3">
        <w:rPr>
          <w:rFonts w:ascii="Times New Roman" w:eastAsia="Times New Roman" w:hAnsi="Times New Roman" w:cs="Times New Roman"/>
          <w:color w:val="222222"/>
          <w:sz w:val="20"/>
          <w:szCs w:val="20"/>
          <w:lang w:bidi="ar-SA"/>
        </w:rPr>
        <w:t xml:space="preserve">kriteria </w:t>
      </w:r>
      <w:r w:rsidRPr="008C65B3">
        <w:rPr>
          <w:rFonts w:ascii="Times New Roman" w:eastAsia="Times New Roman" w:hAnsi="Times New Roman" w:cs="Times New Roman"/>
          <w:color w:val="222222"/>
          <w:sz w:val="20"/>
          <w:szCs w:val="20"/>
          <w:lang w:val="id-ID" w:bidi="ar-SA"/>
        </w:rPr>
        <w:t>diagnosa diabetes</w:t>
      </w:r>
      <w:r w:rsidRPr="008C65B3">
        <w:rPr>
          <w:rFonts w:ascii="Times New Roman" w:eastAsia="Times New Roman" w:hAnsi="Times New Roman" w:cs="Times New Roman"/>
          <w:color w:val="222222"/>
          <w:sz w:val="20"/>
          <w:szCs w:val="20"/>
          <w:lang w:bidi="ar-SA"/>
        </w:rPr>
        <w:t xml:space="preserve"> </w:t>
      </w:r>
      <w:r w:rsidRPr="008C65B3">
        <w:rPr>
          <w:rFonts w:ascii="Times New Roman" w:eastAsia="Times New Roman" w:hAnsi="Times New Roman" w:cs="Times New Roman"/>
          <w:color w:val="222222"/>
          <w:sz w:val="20"/>
          <w:szCs w:val="20"/>
          <w:lang w:val="id-ID" w:bidi="ar-SA"/>
        </w:rPr>
        <w:t>sebagai berikut</w:t>
      </w:r>
      <w:r w:rsidRPr="008C65B3">
        <w:rPr>
          <w:rFonts w:ascii="Times New Roman" w:eastAsia="Times New Roman" w:hAnsi="Times New Roman" w:cs="Times New Roman"/>
          <w:color w:val="222222"/>
          <w:sz w:val="20"/>
          <w:szCs w:val="20"/>
          <w:lang w:bidi="ar-SA"/>
        </w:rPr>
        <w:t xml:space="preserve"> </w:t>
      </w:r>
      <w:r w:rsidRPr="008C65B3">
        <w:rPr>
          <w:rFonts w:ascii="Times New Roman" w:eastAsia="Times New Roman" w:hAnsi="Times New Roman" w:cs="Times New Roman"/>
          <w:color w:val="222222"/>
          <w:sz w:val="20"/>
          <w:szCs w:val="20"/>
          <w:lang w:val="id-ID" w:bidi="ar-SA"/>
        </w:rPr>
        <w:t>:</w:t>
      </w:r>
    </w:p>
    <w:p w:rsidR="00B739F4" w:rsidRPr="008C65B3" w:rsidRDefault="00D859F3" w:rsidP="00B739F4">
      <w:p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Prevalensi Prediabetes/diabetes di wilayah pegunungan</w:t>
      </w:r>
    </w:p>
    <w:p w:rsidR="00D859F3" w:rsidRPr="008C65B3" w:rsidRDefault="00D859F3" w:rsidP="00B739F4">
      <w:p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Tabel 1. Kriteria diagnose prediabetes/diabetes</w:t>
      </w:r>
      <w:r w:rsidR="00805B0E" w:rsidRPr="008C65B3">
        <w:rPr>
          <w:rFonts w:ascii="Times New Roman" w:hAnsi="Times New Roman" w:cs="Times New Roman"/>
          <w:sz w:val="20"/>
          <w:szCs w:val="20"/>
          <w:lang w:bidi="ar-SA"/>
        </w:rPr>
        <w:t xml:space="preserve"> diwilayah pegunungan</w:t>
      </w:r>
    </w:p>
    <w:tbl>
      <w:tblPr>
        <w:tblStyle w:val="TableGrid1"/>
        <w:tblW w:w="0" w:type="auto"/>
        <w:jc w:val="center"/>
        <w:tblBorders>
          <w:left w:val="none" w:sz="0" w:space="0" w:color="auto"/>
          <w:right w:val="none" w:sz="0" w:space="0" w:color="auto"/>
          <w:insideV w:val="none" w:sz="0" w:space="0" w:color="auto"/>
        </w:tblBorders>
        <w:tblLook w:val="04A0"/>
      </w:tblPr>
      <w:tblGrid>
        <w:gridCol w:w="566"/>
        <w:gridCol w:w="3646"/>
        <w:gridCol w:w="2249"/>
        <w:gridCol w:w="1693"/>
      </w:tblGrid>
      <w:tr w:rsidR="003A7610" w:rsidRPr="008C65B3" w:rsidTr="000B690E">
        <w:trPr>
          <w:jc w:val="center"/>
        </w:trPr>
        <w:tc>
          <w:tcPr>
            <w:tcW w:w="566" w:type="dxa"/>
          </w:tcPr>
          <w:p w:rsidR="003A7610" w:rsidRPr="008C65B3" w:rsidRDefault="003A7610" w:rsidP="000B690E">
            <w:pPr>
              <w:jc w:val="center"/>
              <w:rPr>
                <w:rFonts w:ascii="Times New Roman" w:hAnsi="Times New Roman" w:cs="Times New Roman"/>
                <w:sz w:val="20"/>
                <w:szCs w:val="20"/>
              </w:rPr>
            </w:pPr>
            <w:r w:rsidRPr="008C65B3">
              <w:rPr>
                <w:rFonts w:ascii="Times New Roman" w:hAnsi="Times New Roman" w:cs="Times New Roman"/>
                <w:sz w:val="20"/>
                <w:szCs w:val="20"/>
              </w:rPr>
              <w:t>No</w:t>
            </w:r>
          </w:p>
        </w:tc>
        <w:tc>
          <w:tcPr>
            <w:tcW w:w="3646" w:type="dxa"/>
          </w:tcPr>
          <w:p w:rsidR="003A7610" w:rsidRPr="008C65B3" w:rsidRDefault="003A7610" w:rsidP="000B690E">
            <w:pPr>
              <w:jc w:val="center"/>
              <w:rPr>
                <w:rFonts w:ascii="Times New Roman" w:hAnsi="Times New Roman" w:cs="Times New Roman"/>
                <w:sz w:val="20"/>
                <w:szCs w:val="20"/>
              </w:rPr>
            </w:pPr>
            <w:r w:rsidRPr="008C65B3">
              <w:rPr>
                <w:rFonts w:ascii="Times New Roman" w:hAnsi="Times New Roman" w:cs="Times New Roman"/>
                <w:sz w:val="20"/>
                <w:szCs w:val="20"/>
              </w:rPr>
              <w:t>Kriteria diagnosis</w:t>
            </w:r>
          </w:p>
        </w:tc>
        <w:tc>
          <w:tcPr>
            <w:tcW w:w="2249" w:type="dxa"/>
          </w:tcPr>
          <w:p w:rsidR="003A7610" w:rsidRPr="008C65B3" w:rsidRDefault="003A7610" w:rsidP="000B690E">
            <w:pPr>
              <w:jc w:val="center"/>
              <w:rPr>
                <w:rFonts w:ascii="Times New Roman" w:hAnsi="Times New Roman" w:cs="Times New Roman"/>
                <w:sz w:val="20"/>
                <w:szCs w:val="20"/>
              </w:rPr>
            </w:pPr>
            <w:r w:rsidRPr="008C65B3">
              <w:rPr>
                <w:rFonts w:ascii="Times New Roman" w:hAnsi="Times New Roman" w:cs="Times New Roman"/>
                <w:sz w:val="20"/>
                <w:szCs w:val="20"/>
              </w:rPr>
              <w:t>Frekuensi</w:t>
            </w:r>
          </w:p>
        </w:tc>
        <w:tc>
          <w:tcPr>
            <w:tcW w:w="1693" w:type="dxa"/>
          </w:tcPr>
          <w:p w:rsidR="003A7610" w:rsidRPr="008C65B3" w:rsidRDefault="003A7610" w:rsidP="000B690E">
            <w:pPr>
              <w:jc w:val="center"/>
              <w:rPr>
                <w:rFonts w:ascii="Times New Roman" w:hAnsi="Times New Roman" w:cs="Times New Roman"/>
                <w:sz w:val="20"/>
                <w:szCs w:val="20"/>
              </w:rPr>
            </w:pPr>
            <w:r w:rsidRPr="008C65B3">
              <w:rPr>
                <w:rFonts w:ascii="Times New Roman" w:hAnsi="Times New Roman" w:cs="Times New Roman"/>
                <w:sz w:val="20"/>
                <w:szCs w:val="20"/>
              </w:rPr>
              <w:t>Persentase</w:t>
            </w:r>
          </w:p>
        </w:tc>
      </w:tr>
      <w:tr w:rsidR="003A7610" w:rsidRPr="008C65B3" w:rsidTr="000B690E">
        <w:trPr>
          <w:jc w:val="center"/>
        </w:trPr>
        <w:tc>
          <w:tcPr>
            <w:tcW w:w="566" w:type="dxa"/>
          </w:tcPr>
          <w:p w:rsidR="003A7610" w:rsidRPr="008C65B3" w:rsidRDefault="003A7610" w:rsidP="000B690E">
            <w:pPr>
              <w:jc w:val="both"/>
              <w:rPr>
                <w:rFonts w:ascii="Times New Roman" w:hAnsi="Times New Roman" w:cs="Times New Roman"/>
                <w:sz w:val="20"/>
                <w:szCs w:val="20"/>
              </w:rPr>
            </w:pPr>
            <w:r w:rsidRPr="008C65B3">
              <w:rPr>
                <w:rFonts w:ascii="Times New Roman" w:hAnsi="Times New Roman" w:cs="Times New Roman"/>
                <w:sz w:val="20"/>
                <w:szCs w:val="20"/>
              </w:rPr>
              <w:t>1.</w:t>
            </w:r>
          </w:p>
        </w:tc>
        <w:tc>
          <w:tcPr>
            <w:tcW w:w="3646" w:type="dxa"/>
          </w:tcPr>
          <w:p w:rsidR="003A7610" w:rsidRPr="008C65B3" w:rsidRDefault="003A7610" w:rsidP="000B690E">
            <w:pPr>
              <w:jc w:val="both"/>
              <w:rPr>
                <w:rFonts w:ascii="Times New Roman" w:hAnsi="Times New Roman" w:cs="Times New Roman"/>
                <w:sz w:val="20"/>
                <w:szCs w:val="20"/>
              </w:rPr>
            </w:pPr>
            <w:r w:rsidRPr="008C65B3">
              <w:rPr>
                <w:rFonts w:ascii="Times New Roman" w:hAnsi="Times New Roman" w:cs="Times New Roman"/>
                <w:sz w:val="20"/>
                <w:szCs w:val="20"/>
              </w:rPr>
              <w:t>Tidak diabetes</w:t>
            </w:r>
            <w:r w:rsidR="00017D81" w:rsidRPr="008C65B3">
              <w:rPr>
                <w:rFonts w:ascii="Times New Roman" w:hAnsi="Times New Roman" w:cs="Times New Roman"/>
                <w:sz w:val="20"/>
                <w:szCs w:val="20"/>
              </w:rPr>
              <w:t>( &lt; 90 mg/dL)</w:t>
            </w:r>
          </w:p>
        </w:tc>
        <w:tc>
          <w:tcPr>
            <w:tcW w:w="2249" w:type="dxa"/>
          </w:tcPr>
          <w:p w:rsidR="003A7610"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5</w:t>
            </w:r>
          </w:p>
        </w:tc>
        <w:tc>
          <w:tcPr>
            <w:tcW w:w="1693" w:type="dxa"/>
          </w:tcPr>
          <w:p w:rsidR="003A7610"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16.7</w:t>
            </w:r>
            <w:r w:rsidR="003A7610" w:rsidRPr="008C65B3">
              <w:rPr>
                <w:rFonts w:ascii="Times New Roman" w:hAnsi="Times New Roman" w:cs="Times New Roman"/>
                <w:sz w:val="20"/>
                <w:szCs w:val="20"/>
              </w:rPr>
              <w:t>%</w:t>
            </w:r>
          </w:p>
        </w:tc>
      </w:tr>
      <w:tr w:rsidR="003A7610" w:rsidRPr="008C65B3" w:rsidTr="000B690E">
        <w:trPr>
          <w:jc w:val="center"/>
        </w:trPr>
        <w:tc>
          <w:tcPr>
            <w:tcW w:w="566" w:type="dxa"/>
          </w:tcPr>
          <w:p w:rsidR="003A7610" w:rsidRPr="008C65B3" w:rsidRDefault="003A7610" w:rsidP="000B690E">
            <w:pPr>
              <w:jc w:val="both"/>
              <w:rPr>
                <w:rFonts w:ascii="Times New Roman" w:hAnsi="Times New Roman" w:cs="Times New Roman"/>
                <w:sz w:val="20"/>
                <w:szCs w:val="20"/>
              </w:rPr>
            </w:pPr>
            <w:r w:rsidRPr="008C65B3">
              <w:rPr>
                <w:rFonts w:ascii="Times New Roman" w:hAnsi="Times New Roman" w:cs="Times New Roman"/>
                <w:sz w:val="20"/>
                <w:szCs w:val="20"/>
              </w:rPr>
              <w:t>2.</w:t>
            </w:r>
          </w:p>
        </w:tc>
        <w:tc>
          <w:tcPr>
            <w:tcW w:w="3646" w:type="dxa"/>
          </w:tcPr>
          <w:p w:rsidR="003A7610" w:rsidRPr="008C65B3" w:rsidRDefault="003A7610" w:rsidP="000B690E">
            <w:pPr>
              <w:jc w:val="both"/>
              <w:rPr>
                <w:rFonts w:ascii="Times New Roman" w:hAnsi="Times New Roman" w:cs="Times New Roman"/>
                <w:sz w:val="20"/>
                <w:szCs w:val="20"/>
              </w:rPr>
            </w:pPr>
            <w:r w:rsidRPr="008C65B3">
              <w:rPr>
                <w:rFonts w:ascii="Times New Roman" w:hAnsi="Times New Roman" w:cs="Times New Roman"/>
                <w:sz w:val="20"/>
                <w:szCs w:val="20"/>
              </w:rPr>
              <w:t>Belum pasti diabetes</w:t>
            </w:r>
            <w:r w:rsidR="00017D81" w:rsidRPr="008C65B3">
              <w:rPr>
                <w:rFonts w:ascii="Times New Roman" w:hAnsi="Times New Roman" w:cs="Times New Roman"/>
                <w:sz w:val="20"/>
                <w:szCs w:val="20"/>
              </w:rPr>
              <w:t xml:space="preserve"> (90-199 mg/dL)</w:t>
            </w:r>
          </w:p>
        </w:tc>
        <w:tc>
          <w:tcPr>
            <w:tcW w:w="2249" w:type="dxa"/>
          </w:tcPr>
          <w:p w:rsidR="003A7610"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25</w:t>
            </w:r>
          </w:p>
        </w:tc>
        <w:tc>
          <w:tcPr>
            <w:tcW w:w="1693" w:type="dxa"/>
          </w:tcPr>
          <w:p w:rsidR="003A7610"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83.3</w:t>
            </w:r>
            <w:r w:rsidR="003A7610" w:rsidRPr="008C65B3">
              <w:rPr>
                <w:rFonts w:ascii="Times New Roman" w:hAnsi="Times New Roman" w:cs="Times New Roman"/>
                <w:sz w:val="20"/>
                <w:szCs w:val="20"/>
              </w:rPr>
              <w:t>%</w:t>
            </w:r>
          </w:p>
        </w:tc>
      </w:tr>
      <w:tr w:rsidR="003A7610" w:rsidRPr="008C65B3" w:rsidTr="000B690E">
        <w:trPr>
          <w:jc w:val="center"/>
        </w:trPr>
        <w:tc>
          <w:tcPr>
            <w:tcW w:w="4212" w:type="dxa"/>
            <w:gridSpan w:val="2"/>
          </w:tcPr>
          <w:p w:rsidR="003A7610" w:rsidRPr="008C65B3" w:rsidRDefault="003A7610" w:rsidP="003A7610">
            <w:pPr>
              <w:rPr>
                <w:rFonts w:ascii="Times New Roman" w:hAnsi="Times New Roman" w:cs="Times New Roman"/>
                <w:sz w:val="20"/>
                <w:szCs w:val="20"/>
              </w:rPr>
            </w:pPr>
            <w:r w:rsidRPr="008C65B3">
              <w:rPr>
                <w:rFonts w:ascii="Times New Roman" w:hAnsi="Times New Roman" w:cs="Times New Roman"/>
                <w:sz w:val="20"/>
                <w:szCs w:val="20"/>
              </w:rPr>
              <w:t>3.       Diabetes</w:t>
            </w:r>
            <w:r w:rsidR="00017D81" w:rsidRPr="008C65B3">
              <w:rPr>
                <w:rFonts w:ascii="Times New Roman" w:hAnsi="Times New Roman" w:cs="Times New Roman"/>
                <w:sz w:val="20"/>
                <w:szCs w:val="20"/>
              </w:rPr>
              <w:t>( ≥ 200 mg/dL)</w:t>
            </w:r>
          </w:p>
        </w:tc>
        <w:tc>
          <w:tcPr>
            <w:tcW w:w="2249" w:type="dxa"/>
          </w:tcPr>
          <w:p w:rsidR="003A7610"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693" w:type="dxa"/>
          </w:tcPr>
          <w:p w:rsidR="003A7610" w:rsidRPr="008C65B3" w:rsidRDefault="003A7610" w:rsidP="000B690E">
            <w:pPr>
              <w:jc w:val="center"/>
              <w:rPr>
                <w:rFonts w:ascii="Times New Roman" w:hAnsi="Times New Roman" w:cs="Times New Roman"/>
                <w:sz w:val="20"/>
                <w:szCs w:val="20"/>
              </w:rPr>
            </w:pPr>
            <w:r w:rsidRPr="008C65B3">
              <w:rPr>
                <w:rFonts w:ascii="Times New Roman" w:hAnsi="Times New Roman" w:cs="Times New Roman"/>
                <w:sz w:val="20"/>
                <w:szCs w:val="20"/>
              </w:rPr>
              <w:t>0%</w:t>
            </w:r>
          </w:p>
        </w:tc>
      </w:tr>
      <w:tr w:rsidR="003A7610" w:rsidRPr="008C65B3" w:rsidTr="000B690E">
        <w:trPr>
          <w:jc w:val="center"/>
        </w:trPr>
        <w:tc>
          <w:tcPr>
            <w:tcW w:w="4212" w:type="dxa"/>
            <w:gridSpan w:val="2"/>
          </w:tcPr>
          <w:p w:rsidR="003A7610" w:rsidRPr="008C65B3" w:rsidRDefault="003A7610" w:rsidP="000B690E">
            <w:pPr>
              <w:jc w:val="center"/>
              <w:rPr>
                <w:rFonts w:ascii="Times New Roman" w:hAnsi="Times New Roman" w:cs="Times New Roman"/>
                <w:sz w:val="20"/>
                <w:szCs w:val="20"/>
              </w:rPr>
            </w:pPr>
            <w:r w:rsidRPr="008C65B3">
              <w:rPr>
                <w:rFonts w:ascii="Times New Roman" w:hAnsi="Times New Roman" w:cs="Times New Roman"/>
                <w:sz w:val="20"/>
                <w:szCs w:val="20"/>
              </w:rPr>
              <w:t>Total</w:t>
            </w:r>
          </w:p>
        </w:tc>
        <w:tc>
          <w:tcPr>
            <w:tcW w:w="2249" w:type="dxa"/>
          </w:tcPr>
          <w:p w:rsidR="003A7610"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30</w:t>
            </w:r>
          </w:p>
        </w:tc>
        <w:tc>
          <w:tcPr>
            <w:tcW w:w="1693" w:type="dxa"/>
          </w:tcPr>
          <w:p w:rsidR="003A7610" w:rsidRPr="008C65B3" w:rsidRDefault="003A7610" w:rsidP="000B690E">
            <w:pPr>
              <w:jc w:val="center"/>
              <w:rPr>
                <w:rFonts w:ascii="Times New Roman" w:hAnsi="Times New Roman" w:cs="Times New Roman"/>
                <w:sz w:val="20"/>
                <w:szCs w:val="20"/>
              </w:rPr>
            </w:pPr>
            <w:r w:rsidRPr="008C65B3">
              <w:rPr>
                <w:rFonts w:ascii="Times New Roman" w:hAnsi="Times New Roman" w:cs="Times New Roman"/>
                <w:sz w:val="20"/>
                <w:szCs w:val="20"/>
              </w:rPr>
              <w:t>100%</w:t>
            </w:r>
          </w:p>
        </w:tc>
      </w:tr>
    </w:tbl>
    <w:p w:rsidR="00017D81" w:rsidRPr="008C65B3" w:rsidRDefault="00017D81" w:rsidP="00B739F4">
      <w:pPr>
        <w:autoSpaceDE w:val="0"/>
        <w:autoSpaceDN w:val="0"/>
        <w:adjustRightInd w:val="0"/>
        <w:spacing w:after="0" w:line="240" w:lineRule="auto"/>
        <w:jc w:val="both"/>
        <w:rPr>
          <w:rFonts w:ascii="Times New Roman" w:hAnsi="Times New Roman" w:cs="Times New Roman"/>
          <w:sz w:val="20"/>
          <w:szCs w:val="20"/>
          <w:lang w:bidi="ar-SA"/>
        </w:rPr>
      </w:pPr>
    </w:p>
    <w:p w:rsidR="00D859F3" w:rsidRPr="008C65B3" w:rsidRDefault="00D859F3" w:rsidP="00B739F4">
      <w:p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Prevalensi Prediabetes/diabetes di wilayah pesisir</w:t>
      </w:r>
    </w:p>
    <w:p w:rsidR="00017D81" w:rsidRPr="008C65B3" w:rsidRDefault="00805B0E" w:rsidP="00017D81">
      <w:p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Tabel 2</w:t>
      </w:r>
      <w:r w:rsidR="00017D81" w:rsidRPr="008C65B3">
        <w:rPr>
          <w:rFonts w:ascii="Times New Roman" w:hAnsi="Times New Roman" w:cs="Times New Roman"/>
          <w:sz w:val="20"/>
          <w:szCs w:val="20"/>
          <w:lang w:bidi="ar-SA"/>
        </w:rPr>
        <w:t>. Kriteria diagnose prediabetes/diabetes</w:t>
      </w:r>
      <w:r w:rsidRPr="008C65B3">
        <w:rPr>
          <w:rFonts w:ascii="Times New Roman" w:hAnsi="Times New Roman" w:cs="Times New Roman"/>
          <w:sz w:val="20"/>
          <w:szCs w:val="20"/>
          <w:lang w:bidi="ar-SA"/>
        </w:rPr>
        <w:t xml:space="preserve"> diwilayah pesisir</w:t>
      </w:r>
    </w:p>
    <w:tbl>
      <w:tblPr>
        <w:tblStyle w:val="TableGrid1"/>
        <w:tblW w:w="0" w:type="auto"/>
        <w:jc w:val="center"/>
        <w:tblBorders>
          <w:left w:val="none" w:sz="0" w:space="0" w:color="auto"/>
          <w:right w:val="none" w:sz="0" w:space="0" w:color="auto"/>
          <w:insideV w:val="none" w:sz="0" w:space="0" w:color="auto"/>
        </w:tblBorders>
        <w:tblLook w:val="04A0"/>
      </w:tblPr>
      <w:tblGrid>
        <w:gridCol w:w="566"/>
        <w:gridCol w:w="3646"/>
        <w:gridCol w:w="2249"/>
        <w:gridCol w:w="1693"/>
      </w:tblGrid>
      <w:tr w:rsidR="00017D81" w:rsidRPr="008C65B3" w:rsidTr="000B690E">
        <w:trPr>
          <w:jc w:val="center"/>
        </w:trPr>
        <w:tc>
          <w:tcPr>
            <w:tcW w:w="566"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No</w:t>
            </w:r>
          </w:p>
        </w:tc>
        <w:tc>
          <w:tcPr>
            <w:tcW w:w="3646"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Kriteria diagnosis</w:t>
            </w:r>
          </w:p>
        </w:tc>
        <w:tc>
          <w:tcPr>
            <w:tcW w:w="2249"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Frekuensi</w:t>
            </w:r>
          </w:p>
        </w:tc>
        <w:tc>
          <w:tcPr>
            <w:tcW w:w="1693"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Persentase</w:t>
            </w:r>
          </w:p>
        </w:tc>
      </w:tr>
      <w:tr w:rsidR="00017D81" w:rsidRPr="008C65B3" w:rsidTr="000B690E">
        <w:trPr>
          <w:jc w:val="center"/>
        </w:trPr>
        <w:tc>
          <w:tcPr>
            <w:tcW w:w="566" w:type="dxa"/>
          </w:tcPr>
          <w:p w:rsidR="00017D81" w:rsidRPr="008C65B3" w:rsidRDefault="00017D81" w:rsidP="000B690E">
            <w:pPr>
              <w:jc w:val="both"/>
              <w:rPr>
                <w:rFonts w:ascii="Times New Roman" w:hAnsi="Times New Roman" w:cs="Times New Roman"/>
                <w:sz w:val="20"/>
                <w:szCs w:val="20"/>
              </w:rPr>
            </w:pPr>
            <w:r w:rsidRPr="008C65B3">
              <w:rPr>
                <w:rFonts w:ascii="Times New Roman" w:hAnsi="Times New Roman" w:cs="Times New Roman"/>
                <w:sz w:val="20"/>
                <w:szCs w:val="20"/>
              </w:rPr>
              <w:t>1.</w:t>
            </w:r>
          </w:p>
        </w:tc>
        <w:tc>
          <w:tcPr>
            <w:tcW w:w="3646" w:type="dxa"/>
          </w:tcPr>
          <w:p w:rsidR="00017D81" w:rsidRPr="008C65B3" w:rsidRDefault="00017D81" w:rsidP="000B690E">
            <w:pPr>
              <w:jc w:val="both"/>
              <w:rPr>
                <w:rFonts w:ascii="Times New Roman" w:hAnsi="Times New Roman" w:cs="Times New Roman"/>
                <w:sz w:val="20"/>
                <w:szCs w:val="20"/>
              </w:rPr>
            </w:pPr>
            <w:r w:rsidRPr="008C65B3">
              <w:rPr>
                <w:rFonts w:ascii="Times New Roman" w:hAnsi="Times New Roman" w:cs="Times New Roman"/>
                <w:sz w:val="20"/>
                <w:szCs w:val="20"/>
              </w:rPr>
              <w:t>Tidak diabetes( &lt; 90 mg/dL)</w:t>
            </w:r>
          </w:p>
        </w:tc>
        <w:tc>
          <w:tcPr>
            <w:tcW w:w="2249"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8</w:t>
            </w:r>
          </w:p>
        </w:tc>
        <w:tc>
          <w:tcPr>
            <w:tcW w:w="1693"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26.6</w:t>
            </w:r>
            <w:r w:rsidR="00017D81" w:rsidRPr="008C65B3">
              <w:rPr>
                <w:rFonts w:ascii="Times New Roman" w:hAnsi="Times New Roman" w:cs="Times New Roman"/>
                <w:sz w:val="20"/>
                <w:szCs w:val="20"/>
              </w:rPr>
              <w:t>%</w:t>
            </w:r>
          </w:p>
        </w:tc>
      </w:tr>
      <w:tr w:rsidR="00017D81" w:rsidRPr="008C65B3" w:rsidTr="000B690E">
        <w:trPr>
          <w:jc w:val="center"/>
        </w:trPr>
        <w:tc>
          <w:tcPr>
            <w:tcW w:w="566" w:type="dxa"/>
          </w:tcPr>
          <w:p w:rsidR="00017D81" w:rsidRPr="008C65B3" w:rsidRDefault="00017D81" w:rsidP="000B690E">
            <w:pPr>
              <w:jc w:val="both"/>
              <w:rPr>
                <w:rFonts w:ascii="Times New Roman" w:hAnsi="Times New Roman" w:cs="Times New Roman"/>
                <w:sz w:val="20"/>
                <w:szCs w:val="20"/>
              </w:rPr>
            </w:pPr>
            <w:r w:rsidRPr="008C65B3">
              <w:rPr>
                <w:rFonts w:ascii="Times New Roman" w:hAnsi="Times New Roman" w:cs="Times New Roman"/>
                <w:sz w:val="20"/>
                <w:szCs w:val="20"/>
              </w:rPr>
              <w:t>2.</w:t>
            </w:r>
          </w:p>
        </w:tc>
        <w:tc>
          <w:tcPr>
            <w:tcW w:w="3646" w:type="dxa"/>
          </w:tcPr>
          <w:p w:rsidR="00017D81" w:rsidRPr="008C65B3" w:rsidRDefault="00017D81" w:rsidP="000B690E">
            <w:pPr>
              <w:jc w:val="both"/>
              <w:rPr>
                <w:rFonts w:ascii="Times New Roman" w:hAnsi="Times New Roman" w:cs="Times New Roman"/>
                <w:sz w:val="20"/>
                <w:szCs w:val="20"/>
              </w:rPr>
            </w:pPr>
            <w:r w:rsidRPr="008C65B3">
              <w:rPr>
                <w:rFonts w:ascii="Times New Roman" w:hAnsi="Times New Roman" w:cs="Times New Roman"/>
                <w:sz w:val="20"/>
                <w:szCs w:val="20"/>
              </w:rPr>
              <w:t>Belum pasti diabetes (90-199 mg/dL)</w:t>
            </w:r>
          </w:p>
        </w:tc>
        <w:tc>
          <w:tcPr>
            <w:tcW w:w="2249"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13</w:t>
            </w:r>
          </w:p>
        </w:tc>
        <w:tc>
          <w:tcPr>
            <w:tcW w:w="1693"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43.4</w:t>
            </w:r>
            <w:r w:rsidR="00017D81" w:rsidRPr="008C65B3">
              <w:rPr>
                <w:rFonts w:ascii="Times New Roman" w:hAnsi="Times New Roman" w:cs="Times New Roman"/>
                <w:sz w:val="20"/>
                <w:szCs w:val="20"/>
              </w:rPr>
              <w:t>%</w:t>
            </w:r>
          </w:p>
        </w:tc>
      </w:tr>
      <w:tr w:rsidR="00017D81" w:rsidRPr="008C65B3" w:rsidTr="000B690E">
        <w:trPr>
          <w:jc w:val="center"/>
        </w:trPr>
        <w:tc>
          <w:tcPr>
            <w:tcW w:w="4212" w:type="dxa"/>
            <w:gridSpan w:val="2"/>
          </w:tcPr>
          <w:p w:rsidR="00017D81" w:rsidRPr="008C65B3" w:rsidRDefault="00017D81" w:rsidP="000B690E">
            <w:pPr>
              <w:rPr>
                <w:rFonts w:ascii="Times New Roman" w:hAnsi="Times New Roman" w:cs="Times New Roman"/>
                <w:sz w:val="20"/>
                <w:szCs w:val="20"/>
              </w:rPr>
            </w:pPr>
            <w:r w:rsidRPr="008C65B3">
              <w:rPr>
                <w:rFonts w:ascii="Times New Roman" w:hAnsi="Times New Roman" w:cs="Times New Roman"/>
                <w:sz w:val="20"/>
                <w:szCs w:val="20"/>
              </w:rPr>
              <w:t>3.       Diabetes( ≥ 200 mg/dL)</w:t>
            </w:r>
          </w:p>
        </w:tc>
        <w:tc>
          <w:tcPr>
            <w:tcW w:w="2249"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9</w:t>
            </w:r>
          </w:p>
        </w:tc>
        <w:tc>
          <w:tcPr>
            <w:tcW w:w="1693"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30</w:t>
            </w:r>
            <w:r w:rsidR="00017D81" w:rsidRPr="008C65B3">
              <w:rPr>
                <w:rFonts w:ascii="Times New Roman" w:hAnsi="Times New Roman" w:cs="Times New Roman"/>
                <w:sz w:val="20"/>
                <w:szCs w:val="20"/>
              </w:rPr>
              <w:t>%</w:t>
            </w:r>
          </w:p>
        </w:tc>
      </w:tr>
      <w:tr w:rsidR="00017D81" w:rsidRPr="008C65B3" w:rsidTr="000B690E">
        <w:trPr>
          <w:jc w:val="center"/>
        </w:trPr>
        <w:tc>
          <w:tcPr>
            <w:tcW w:w="4212" w:type="dxa"/>
            <w:gridSpan w:val="2"/>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Total</w:t>
            </w:r>
          </w:p>
        </w:tc>
        <w:tc>
          <w:tcPr>
            <w:tcW w:w="2249"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30</w:t>
            </w:r>
          </w:p>
        </w:tc>
        <w:tc>
          <w:tcPr>
            <w:tcW w:w="1693"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100%</w:t>
            </w:r>
          </w:p>
        </w:tc>
      </w:tr>
    </w:tbl>
    <w:p w:rsidR="00017D81" w:rsidRPr="008C65B3" w:rsidRDefault="00017D81" w:rsidP="00B739F4">
      <w:pPr>
        <w:autoSpaceDE w:val="0"/>
        <w:autoSpaceDN w:val="0"/>
        <w:adjustRightInd w:val="0"/>
        <w:spacing w:after="0" w:line="240" w:lineRule="auto"/>
        <w:jc w:val="both"/>
        <w:rPr>
          <w:rFonts w:ascii="Times New Roman" w:hAnsi="Times New Roman" w:cs="Times New Roman"/>
          <w:sz w:val="20"/>
          <w:szCs w:val="20"/>
          <w:lang w:bidi="ar-SA"/>
        </w:rPr>
      </w:pPr>
    </w:p>
    <w:p w:rsidR="00D859F3" w:rsidRPr="008C65B3" w:rsidRDefault="00D859F3" w:rsidP="00B739F4">
      <w:p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Prevalensi Prediabetes/diabetes di wilayah perkotaan</w:t>
      </w:r>
    </w:p>
    <w:p w:rsidR="00017D81" w:rsidRPr="008C65B3" w:rsidRDefault="00805B0E" w:rsidP="00017D81">
      <w:p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Tabel 3</w:t>
      </w:r>
      <w:r w:rsidR="00017D81" w:rsidRPr="008C65B3">
        <w:rPr>
          <w:rFonts w:ascii="Times New Roman" w:hAnsi="Times New Roman" w:cs="Times New Roman"/>
          <w:sz w:val="20"/>
          <w:szCs w:val="20"/>
          <w:lang w:bidi="ar-SA"/>
        </w:rPr>
        <w:t>. Kriteria diagnose prediabetes/diabetes</w:t>
      </w:r>
      <w:r w:rsidRPr="008C65B3">
        <w:rPr>
          <w:rFonts w:ascii="Times New Roman" w:hAnsi="Times New Roman" w:cs="Times New Roman"/>
          <w:sz w:val="20"/>
          <w:szCs w:val="20"/>
          <w:lang w:bidi="ar-SA"/>
        </w:rPr>
        <w:t xml:space="preserve"> di wilayah perkotaan</w:t>
      </w:r>
    </w:p>
    <w:tbl>
      <w:tblPr>
        <w:tblStyle w:val="TableGrid1"/>
        <w:tblW w:w="0" w:type="auto"/>
        <w:jc w:val="center"/>
        <w:tblBorders>
          <w:left w:val="none" w:sz="0" w:space="0" w:color="auto"/>
          <w:right w:val="none" w:sz="0" w:space="0" w:color="auto"/>
          <w:insideV w:val="none" w:sz="0" w:space="0" w:color="auto"/>
        </w:tblBorders>
        <w:tblLook w:val="04A0"/>
      </w:tblPr>
      <w:tblGrid>
        <w:gridCol w:w="566"/>
        <w:gridCol w:w="3646"/>
        <w:gridCol w:w="2249"/>
        <w:gridCol w:w="1693"/>
      </w:tblGrid>
      <w:tr w:rsidR="00017D81" w:rsidRPr="008C65B3" w:rsidTr="000B690E">
        <w:trPr>
          <w:jc w:val="center"/>
        </w:trPr>
        <w:tc>
          <w:tcPr>
            <w:tcW w:w="566"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No</w:t>
            </w:r>
          </w:p>
        </w:tc>
        <w:tc>
          <w:tcPr>
            <w:tcW w:w="3646"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Kriteria diagnosis</w:t>
            </w:r>
          </w:p>
        </w:tc>
        <w:tc>
          <w:tcPr>
            <w:tcW w:w="2249"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Frekuensi</w:t>
            </w:r>
          </w:p>
        </w:tc>
        <w:tc>
          <w:tcPr>
            <w:tcW w:w="1693"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Persentase</w:t>
            </w:r>
          </w:p>
        </w:tc>
      </w:tr>
      <w:tr w:rsidR="00017D81" w:rsidRPr="008C65B3" w:rsidTr="000B690E">
        <w:trPr>
          <w:jc w:val="center"/>
        </w:trPr>
        <w:tc>
          <w:tcPr>
            <w:tcW w:w="566" w:type="dxa"/>
          </w:tcPr>
          <w:p w:rsidR="00017D81" w:rsidRPr="008C65B3" w:rsidRDefault="00017D81" w:rsidP="000B690E">
            <w:pPr>
              <w:jc w:val="both"/>
              <w:rPr>
                <w:rFonts w:ascii="Times New Roman" w:hAnsi="Times New Roman" w:cs="Times New Roman"/>
                <w:sz w:val="20"/>
                <w:szCs w:val="20"/>
              </w:rPr>
            </w:pPr>
            <w:r w:rsidRPr="008C65B3">
              <w:rPr>
                <w:rFonts w:ascii="Times New Roman" w:hAnsi="Times New Roman" w:cs="Times New Roman"/>
                <w:sz w:val="20"/>
                <w:szCs w:val="20"/>
              </w:rPr>
              <w:t>1.</w:t>
            </w:r>
          </w:p>
        </w:tc>
        <w:tc>
          <w:tcPr>
            <w:tcW w:w="3646" w:type="dxa"/>
          </w:tcPr>
          <w:p w:rsidR="00017D81" w:rsidRPr="008C65B3" w:rsidRDefault="00017D81" w:rsidP="000B690E">
            <w:pPr>
              <w:jc w:val="both"/>
              <w:rPr>
                <w:rFonts w:ascii="Times New Roman" w:hAnsi="Times New Roman" w:cs="Times New Roman"/>
                <w:sz w:val="20"/>
                <w:szCs w:val="20"/>
              </w:rPr>
            </w:pPr>
            <w:r w:rsidRPr="008C65B3">
              <w:rPr>
                <w:rFonts w:ascii="Times New Roman" w:hAnsi="Times New Roman" w:cs="Times New Roman"/>
                <w:sz w:val="20"/>
                <w:szCs w:val="20"/>
              </w:rPr>
              <w:t>Tidak diabetes( &lt; 90 mg/dL)</w:t>
            </w:r>
          </w:p>
        </w:tc>
        <w:tc>
          <w:tcPr>
            <w:tcW w:w="2249"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4</w:t>
            </w:r>
          </w:p>
        </w:tc>
        <w:tc>
          <w:tcPr>
            <w:tcW w:w="1693"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13.3</w:t>
            </w:r>
            <w:r w:rsidR="00017D81" w:rsidRPr="008C65B3">
              <w:rPr>
                <w:rFonts w:ascii="Times New Roman" w:hAnsi="Times New Roman" w:cs="Times New Roman"/>
                <w:sz w:val="20"/>
                <w:szCs w:val="20"/>
              </w:rPr>
              <w:t>%</w:t>
            </w:r>
          </w:p>
        </w:tc>
      </w:tr>
      <w:tr w:rsidR="00017D81" w:rsidRPr="008C65B3" w:rsidTr="000B690E">
        <w:trPr>
          <w:jc w:val="center"/>
        </w:trPr>
        <w:tc>
          <w:tcPr>
            <w:tcW w:w="566" w:type="dxa"/>
          </w:tcPr>
          <w:p w:rsidR="00017D81" w:rsidRPr="008C65B3" w:rsidRDefault="00017D81" w:rsidP="000B690E">
            <w:pPr>
              <w:jc w:val="both"/>
              <w:rPr>
                <w:rFonts w:ascii="Times New Roman" w:hAnsi="Times New Roman" w:cs="Times New Roman"/>
                <w:sz w:val="20"/>
                <w:szCs w:val="20"/>
              </w:rPr>
            </w:pPr>
            <w:r w:rsidRPr="008C65B3">
              <w:rPr>
                <w:rFonts w:ascii="Times New Roman" w:hAnsi="Times New Roman" w:cs="Times New Roman"/>
                <w:sz w:val="20"/>
                <w:szCs w:val="20"/>
              </w:rPr>
              <w:t>2.</w:t>
            </w:r>
          </w:p>
        </w:tc>
        <w:tc>
          <w:tcPr>
            <w:tcW w:w="3646" w:type="dxa"/>
          </w:tcPr>
          <w:p w:rsidR="00017D81" w:rsidRPr="008C65B3" w:rsidRDefault="00017D81" w:rsidP="000B690E">
            <w:pPr>
              <w:jc w:val="both"/>
              <w:rPr>
                <w:rFonts w:ascii="Times New Roman" w:hAnsi="Times New Roman" w:cs="Times New Roman"/>
                <w:sz w:val="20"/>
                <w:szCs w:val="20"/>
              </w:rPr>
            </w:pPr>
            <w:r w:rsidRPr="008C65B3">
              <w:rPr>
                <w:rFonts w:ascii="Times New Roman" w:hAnsi="Times New Roman" w:cs="Times New Roman"/>
                <w:sz w:val="20"/>
                <w:szCs w:val="20"/>
              </w:rPr>
              <w:t>Belum pasti diabetes (90-199 mg/dL)</w:t>
            </w:r>
          </w:p>
        </w:tc>
        <w:tc>
          <w:tcPr>
            <w:tcW w:w="2249"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22</w:t>
            </w:r>
          </w:p>
        </w:tc>
        <w:tc>
          <w:tcPr>
            <w:tcW w:w="1693"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73,4</w:t>
            </w:r>
            <w:r w:rsidR="00017D81" w:rsidRPr="008C65B3">
              <w:rPr>
                <w:rFonts w:ascii="Times New Roman" w:hAnsi="Times New Roman" w:cs="Times New Roman"/>
                <w:sz w:val="20"/>
                <w:szCs w:val="20"/>
              </w:rPr>
              <w:t>%</w:t>
            </w:r>
          </w:p>
        </w:tc>
      </w:tr>
      <w:tr w:rsidR="00017D81" w:rsidRPr="008C65B3" w:rsidTr="000B690E">
        <w:trPr>
          <w:jc w:val="center"/>
        </w:trPr>
        <w:tc>
          <w:tcPr>
            <w:tcW w:w="4212" w:type="dxa"/>
            <w:gridSpan w:val="2"/>
          </w:tcPr>
          <w:p w:rsidR="00017D81" w:rsidRPr="008C65B3" w:rsidRDefault="00017D81" w:rsidP="000B690E">
            <w:pPr>
              <w:rPr>
                <w:rFonts w:ascii="Times New Roman" w:hAnsi="Times New Roman" w:cs="Times New Roman"/>
                <w:sz w:val="20"/>
                <w:szCs w:val="20"/>
              </w:rPr>
            </w:pPr>
            <w:r w:rsidRPr="008C65B3">
              <w:rPr>
                <w:rFonts w:ascii="Times New Roman" w:hAnsi="Times New Roman" w:cs="Times New Roman"/>
                <w:sz w:val="20"/>
                <w:szCs w:val="20"/>
              </w:rPr>
              <w:t>3.       Diabetes( ≥ 200 mg/dL)</w:t>
            </w:r>
          </w:p>
        </w:tc>
        <w:tc>
          <w:tcPr>
            <w:tcW w:w="2249"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4</w:t>
            </w:r>
          </w:p>
        </w:tc>
        <w:tc>
          <w:tcPr>
            <w:tcW w:w="1693" w:type="dxa"/>
          </w:tcPr>
          <w:p w:rsidR="00017D81" w:rsidRPr="008C65B3" w:rsidRDefault="004C3924" w:rsidP="000B690E">
            <w:pPr>
              <w:jc w:val="center"/>
              <w:rPr>
                <w:rFonts w:ascii="Times New Roman" w:hAnsi="Times New Roman" w:cs="Times New Roman"/>
                <w:sz w:val="20"/>
                <w:szCs w:val="20"/>
              </w:rPr>
            </w:pPr>
            <w:r w:rsidRPr="008C65B3">
              <w:rPr>
                <w:rFonts w:ascii="Times New Roman" w:hAnsi="Times New Roman" w:cs="Times New Roman"/>
                <w:sz w:val="20"/>
                <w:szCs w:val="20"/>
              </w:rPr>
              <w:t>13.3</w:t>
            </w:r>
            <w:r w:rsidR="00017D81" w:rsidRPr="008C65B3">
              <w:rPr>
                <w:rFonts w:ascii="Times New Roman" w:hAnsi="Times New Roman" w:cs="Times New Roman"/>
                <w:sz w:val="20"/>
                <w:szCs w:val="20"/>
              </w:rPr>
              <w:t>%</w:t>
            </w:r>
          </w:p>
        </w:tc>
      </w:tr>
      <w:tr w:rsidR="00017D81" w:rsidRPr="008C65B3" w:rsidTr="000B690E">
        <w:trPr>
          <w:jc w:val="center"/>
        </w:trPr>
        <w:tc>
          <w:tcPr>
            <w:tcW w:w="4212" w:type="dxa"/>
            <w:gridSpan w:val="2"/>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Total</w:t>
            </w:r>
          </w:p>
        </w:tc>
        <w:tc>
          <w:tcPr>
            <w:tcW w:w="2249"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30</w:t>
            </w:r>
          </w:p>
        </w:tc>
        <w:tc>
          <w:tcPr>
            <w:tcW w:w="1693" w:type="dxa"/>
          </w:tcPr>
          <w:p w:rsidR="00017D81" w:rsidRPr="008C65B3" w:rsidRDefault="00017D81" w:rsidP="000B690E">
            <w:pPr>
              <w:jc w:val="center"/>
              <w:rPr>
                <w:rFonts w:ascii="Times New Roman" w:hAnsi="Times New Roman" w:cs="Times New Roman"/>
                <w:sz w:val="20"/>
                <w:szCs w:val="20"/>
              </w:rPr>
            </w:pPr>
            <w:r w:rsidRPr="008C65B3">
              <w:rPr>
                <w:rFonts w:ascii="Times New Roman" w:hAnsi="Times New Roman" w:cs="Times New Roman"/>
                <w:sz w:val="20"/>
                <w:szCs w:val="20"/>
              </w:rPr>
              <w:t>100%</w:t>
            </w:r>
          </w:p>
        </w:tc>
      </w:tr>
    </w:tbl>
    <w:p w:rsidR="00B739F4" w:rsidRPr="008C65B3" w:rsidRDefault="00B739F4" w:rsidP="00B56144">
      <w:pPr>
        <w:pStyle w:val="Default"/>
        <w:jc w:val="both"/>
        <w:rPr>
          <w:b/>
          <w:sz w:val="20"/>
          <w:szCs w:val="20"/>
        </w:rPr>
      </w:pPr>
    </w:p>
    <w:p w:rsidR="00B47BE9" w:rsidRPr="008C65B3" w:rsidRDefault="00B47BE9" w:rsidP="00251D22">
      <w:pPr>
        <w:pStyle w:val="HTMLPreformatted"/>
        <w:shd w:val="clear" w:color="auto" w:fill="F8F9FA"/>
        <w:jc w:val="both"/>
        <w:rPr>
          <w:rFonts w:ascii="Times New Roman" w:hAnsi="Times New Roman" w:cs="Times New Roman"/>
          <w:color w:val="222222"/>
          <w:lang w:val="id-ID"/>
        </w:rPr>
      </w:pPr>
      <w:r w:rsidRPr="008C65B3">
        <w:rPr>
          <w:rFonts w:ascii="Times New Roman" w:hAnsi="Times New Roman" w:cs="Times New Roman"/>
          <w:color w:val="222222"/>
          <w:lang w:val="id-ID"/>
        </w:rPr>
        <w:t>Prevalensi prediabetes (Gangguan Toleransi Glukosa)</w:t>
      </w:r>
      <w:r w:rsidRPr="008C65B3">
        <w:rPr>
          <w:rFonts w:ascii="Times New Roman" w:hAnsi="Times New Roman" w:cs="Times New Roman"/>
          <w:color w:val="222222"/>
        </w:rPr>
        <w:t xml:space="preserve"> </w:t>
      </w:r>
      <w:r w:rsidR="00251D22" w:rsidRPr="008C65B3">
        <w:rPr>
          <w:rFonts w:ascii="Times New Roman" w:hAnsi="Times New Roman" w:cs="Times New Roman"/>
          <w:color w:val="222222"/>
          <w:lang w:val="id-ID"/>
        </w:rPr>
        <w:t xml:space="preserve">untuk </w:t>
      </w:r>
      <w:r w:rsidR="00251D22" w:rsidRPr="008C65B3">
        <w:rPr>
          <w:rFonts w:ascii="Times New Roman" w:hAnsi="Times New Roman" w:cs="Times New Roman"/>
          <w:color w:val="222222"/>
        </w:rPr>
        <w:t>lansia</w:t>
      </w:r>
      <w:r w:rsidRPr="008C65B3">
        <w:rPr>
          <w:rFonts w:ascii="Times New Roman" w:hAnsi="Times New Roman" w:cs="Times New Roman"/>
          <w:color w:val="222222"/>
          <w:lang w:val="id-ID"/>
        </w:rPr>
        <w:t xml:space="preserve"> di </w:t>
      </w:r>
      <w:r w:rsidRPr="008C65B3">
        <w:rPr>
          <w:rFonts w:ascii="Times New Roman" w:hAnsi="Times New Roman" w:cs="Times New Roman"/>
          <w:color w:val="222222"/>
        </w:rPr>
        <w:t>wil</w:t>
      </w:r>
      <w:r w:rsidR="00251D22" w:rsidRPr="008C65B3">
        <w:rPr>
          <w:rFonts w:ascii="Times New Roman" w:hAnsi="Times New Roman" w:cs="Times New Roman"/>
          <w:color w:val="222222"/>
        </w:rPr>
        <w:t>a</w:t>
      </w:r>
      <w:r w:rsidRPr="008C65B3">
        <w:rPr>
          <w:rFonts w:ascii="Times New Roman" w:hAnsi="Times New Roman" w:cs="Times New Roman"/>
          <w:color w:val="222222"/>
        </w:rPr>
        <w:t>yah</w:t>
      </w:r>
      <w:r w:rsidR="00251D22" w:rsidRPr="008C65B3">
        <w:rPr>
          <w:rFonts w:ascii="Times New Roman" w:hAnsi="Times New Roman" w:cs="Times New Roman"/>
          <w:color w:val="222222"/>
        </w:rPr>
        <w:t xml:space="preserve"> pegunungan </w:t>
      </w:r>
      <w:r w:rsidR="00251D22" w:rsidRPr="008C65B3">
        <w:rPr>
          <w:rFonts w:ascii="Times New Roman" w:hAnsi="Times New Roman" w:cs="Times New Roman"/>
          <w:color w:val="222222"/>
          <w:lang w:val="id-ID"/>
        </w:rPr>
        <w:t xml:space="preserve">adalah </w:t>
      </w:r>
      <w:r w:rsidR="00251D22" w:rsidRPr="008C65B3">
        <w:rPr>
          <w:rFonts w:ascii="Times New Roman" w:hAnsi="Times New Roman" w:cs="Times New Roman"/>
          <w:color w:val="222222"/>
        </w:rPr>
        <w:t>83,3</w:t>
      </w:r>
      <w:r w:rsidRPr="008C65B3">
        <w:rPr>
          <w:rFonts w:ascii="Times New Roman" w:hAnsi="Times New Roman" w:cs="Times New Roman"/>
          <w:color w:val="222222"/>
          <w:lang w:val="id-ID"/>
        </w:rPr>
        <w:t>%</w:t>
      </w:r>
      <w:r w:rsidR="00251D22" w:rsidRPr="008C65B3">
        <w:rPr>
          <w:rFonts w:ascii="Times New Roman" w:hAnsi="Times New Roman" w:cs="Times New Roman"/>
          <w:color w:val="222222"/>
        </w:rPr>
        <w:t>, di wilayah pesisir adalah 43,4%, dan di wilayah perkotaan adalah 73,4%</w:t>
      </w:r>
      <w:r w:rsidRPr="008C65B3">
        <w:rPr>
          <w:rFonts w:ascii="Times New Roman" w:hAnsi="Times New Roman" w:cs="Times New Roman"/>
          <w:color w:val="222222"/>
          <w:lang w:val="id-ID"/>
        </w:rPr>
        <w:t xml:space="preserve">. Prevalensi yang ditunjukkan oleh total diabetes </w:t>
      </w:r>
      <w:r w:rsidR="00251D22" w:rsidRPr="008C65B3">
        <w:rPr>
          <w:rFonts w:ascii="Times New Roman" w:hAnsi="Times New Roman" w:cs="Times New Roman"/>
          <w:color w:val="222222"/>
        </w:rPr>
        <w:t xml:space="preserve">di wilayah pegunungan </w:t>
      </w:r>
      <w:r w:rsidRPr="008C65B3">
        <w:rPr>
          <w:rFonts w:ascii="Times New Roman" w:hAnsi="Times New Roman" w:cs="Times New Roman"/>
          <w:color w:val="222222"/>
          <w:lang w:val="id-ID"/>
        </w:rPr>
        <w:t>adalah</w:t>
      </w:r>
      <w:r w:rsidR="00251D22" w:rsidRPr="008C65B3">
        <w:rPr>
          <w:rFonts w:ascii="Times New Roman" w:hAnsi="Times New Roman" w:cs="Times New Roman"/>
          <w:color w:val="222222"/>
        </w:rPr>
        <w:t xml:space="preserve"> 0%, di wilayah pesisir adalah 30% da wilayah perkotaan 13,3%</w:t>
      </w:r>
      <w:r w:rsidRPr="008C65B3">
        <w:rPr>
          <w:rFonts w:ascii="Times New Roman" w:hAnsi="Times New Roman" w:cs="Times New Roman"/>
          <w:color w:val="222222"/>
          <w:lang w:val="id-ID"/>
        </w:rPr>
        <w:t>. Bahwa</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menunjukkan bahwa prevalensi pra-diabetes hampir dua kali lipat</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 xml:space="preserve">lebih tinggi dari diabetes. </w:t>
      </w:r>
    </w:p>
    <w:p w:rsidR="007335BA" w:rsidRPr="008C65B3" w:rsidRDefault="007335BA" w:rsidP="00154F97">
      <w:pPr>
        <w:pStyle w:val="HTMLPreformatted"/>
        <w:shd w:val="clear" w:color="auto" w:fill="F8F9FA"/>
        <w:jc w:val="both"/>
        <w:rPr>
          <w:rFonts w:ascii="Times New Roman" w:eastAsiaTheme="minorHAnsi" w:hAnsi="Times New Roman" w:cs="Times New Roman"/>
          <w:b/>
          <w:color w:val="000000"/>
        </w:rPr>
      </w:pPr>
    </w:p>
    <w:p w:rsidR="00154F97" w:rsidRPr="008C65B3" w:rsidRDefault="00154F97" w:rsidP="00154F97">
      <w:pPr>
        <w:pStyle w:val="HTMLPreformatted"/>
        <w:shd w:val="clear" w:color="auto" w:fill="F8F9FA"/>
        <w:jc w:val="both"/>
        <w:rPr>
          <w:rFonts w:ascii="Times New Roman" w:hAnsi="Times New Roman" w:cs="Times New Roman"/>
          <w:color w:val="222222"/>
        </w:rPr>
      </w:pPr>
      <w:r w:rsidRPr="008C65B3">
        <w:rPr>
          <w:rFonts w:ascii="Times New Roman" w:hAnsi="Times New Roman" w:cs="Times New Roman"/>
          <w:color w:val="222222"/>
          <w:lang w:val="id-ID"/>
        </w:rPr>
        <w:t xml:space="preserve">Karakteristik pra-diabetes di </w:t>
      </w:r>
      <w:r w:rsidRPr="008C65B3">
        <w:rPr>
          <w:rFonts w:ascii="Times New Roman" w:hAnsi="Times New Roman" w:cs="Times New Roman"/>
          <w:color w:val="222222"/>
        </w:rPr>
        <w:t>wilayah pegunungan, pesisir dan perkotaan</w:t>
      </w:r>
    </w:p>
    <w:p w:rsidR="00154F97" w:rsidRPr="008C65B3" w:rsidRDefault="00154F97" w:rsidP="00154F97">
      <w:pPr>
        <w:pStyle w:val="HTMLPreformatted"/>
        <w:shd w:val="clear" w:color="auto" w:fill="F8F9FA"/>
        <w:jc w:val="both"/>
        <w:rPr>
          <w:rFonts w:ascii="Times New Roman" w:hAnsi="Times New Roman" w:cs="Times New Roman"/>
          <w:color w:val="222222"/>
        </w:rPr>
      </w:pPr>
    </w:p>
    <w:p w:rsidR="00EA3551" w:rsidRPr="008C65B3" w:rsidRDefault="00154F97" w:rsidP="00154F97">
      <w:pPr>
        <w:pStyle w:val="HTMLPreformatted"/>
        <w:shd w:val="clear" w:color="auto" w:fill="F8F9FA"/>
        <w:jc w:val="both"/>
        <w:rPr>
          <w:rFonts w:ascii="Times New Roman" w:hAnsi="Times New Roman" w:cs="Times New Roman"/>
          <w:color w:val="222222"/>
        </w:rPr>
      </w:pPr>
      <w:r w:rsidRPr="008C65B3">
        <w:rPr>
          <w:rFonts w:ascii="Times New Roman" w:hAnsi="Times New Roman" w:cs="Times New Roman"/>
          <w:color w:val="222222"/>
          <w:lang w:val="id-ID"/>
        </w:rPr>
        <w:t>Karakteristik pra-diabetes diklasifikasikan pada</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 xml:space="preserve">usia, jenis kelamin, </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 xml:space="preserve">tingkat pendidikan, </w:t>
      </w:r>
      <w:r w:rsidRPr="008C65B3">
        <w:rPr>
          <w:rFonts w:ascii="Times New Roman" w:hAnsi="Times New Roman" w:cs="Times New Roman"/>
          <w:color w:val="222222"/>
        </w:rPr>
        <w:t>hipertensi, obesitas, aktifitas dan merokok.</w:t>
      </w:r>
      <w:r w:rsidRPr="008C65B3">
        <w:rPr>
          <w:rFonts w:ascii="Times New Roman" w:hAnsi="Times New Roman" w:cs="Times New Roman"/>
          <w:color w:val="222222"/>
          <w:lang w:val="id-ID"/>
        </w:rPr>
        <w:t xml:space="preserve"> Tabel </w:t>
      </w:r>
      <w:r w:rsidRPr="008C65B3">
        <w:rPr>
          <w:rFonts w:ascii="Times New Roman" w:hAnsi="Times New Roman" w:cs="Times New Roman"/>
          <w:color w:val="222222"/>
        </w:rPr>
        <w:t>4,5 dan 6</w:t>
      </w:r>
      <w:r w:rsidRPr="008C65B3">
        <w:rPr>
          <w:rFonts w:ascii="Times New Roman" w:hAnsi="Times New Roman" w:cs="Times New Roman"/>
          <w:color w:val="222222"/>
          <w:lang w:val="id-ID"/>
        </w:rPr>
        <w:t xml:space="preserve"> menunjukkan</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karakteristik pra-diabetes di</w:t>
      </w:r>
      <w:r w:rsidRPr="008C65B3">
        <w:rPr>
          <w:rFonts w:ascii="Times New Roman" w:hAnsi="Times New Roman" w:cs="Times New Roman"/>
          <w:color w:val="222222"/>
        </w:rPr>
        <w:t xml:space="preserve"> wilayah pegunungan, wilayah pesisir da wilayah perkotaan</w:t>
      </w:r>
      <w:r w:rsidRPr="008C65B3">
        <w:rPr>
          <w:rFonts w:ascii="Times New Roman" w:hAnsi="Times New Roman" w:cs="Times New Roman"/>
          <w:color w:val="222222"/>
          <w:lang w:val="id-ID"/>
        </w:rPr>
        <w:t>.</w:t>
      </w:r>
    </w:p>
    <w:p w:rsidR="00154F97" w:rsidRPr="008C65B3" w:rsidRDefault="00154F97" w:rsidP="00154F97">
      <w:pPr>
        <w:pStyle w:val="HTMLPreformatted"/>
        <w:shd w:val="clear" w:color="auto" w:fill="F8F9FA"/>
        <w:jc w:val="both"/>
        <w:rPr>
          <w:rFonts w:ascii="Times New Roman" w:hAnsi="Times New Roman" w:cs="Times New Roman"/>
          <w:color w:val="222222"/>
        </w:rPr>
      </w:pPr>
    </w:p>
    <w:p w:rsidR="004D64F5" w:rsidRPr="008C65B3" w:rsidRDefault="00805B0E" w:rsidP="00B56144">
      <w:pPr>
        <w:pStyle w:val="Default"/>
        <w:jc w:val="both"/>
        <w:rPr>
          <w:sz w:val="20"/>
          <w:szCs w:val="20"/>
        </w:rPr>
      </w:pPr>
      <w:r w:rsidRPr="008C65B3">
        <w:rPr>
          <w:sz w:val="20"/>
          <w:szCs w:val="20"/>
        </w:rPr>
        <w:t>Tabel 4.</w:t>
      </w:r>
      <w:r w:rsidR="008F0937" w:rsidRPr="008C65B3">
        <w:rPr>
          <w:sz w:val="20"/>
          <w:szCs w:val="20"/>
        </w:rPr>
        <w:t xml:space="preserve"> </w:t>
      </w:r>
      <w:r w:rsidRPr="008C65B3">
        <w:rPr>
          <w:sz w:val="20"/>
          <w:szCs w:val="20"/>
        </w:rPr>
        <w:t>Karakteristik prediabetes</w:t>
      </w:r>
      <w:r w:rsidR="00BD36B3" w:rsidRPr="008C65B3">
        <w:rPr>
          <w:sz w:val="20"/>
          <w:szCs w:val="20"/>
        </w:rPr>
        <w:t>/diabetes</w:t>
      </w:r>
      <w:r w:rsidRPr="008C65B3">
        <w:rPr>
          <w:sz w:val="20"/>
          <w:szCs w:val="20"/>
        </w:rPr>
        <w:t xml:space="preserve"> di wilayah pegunungan</w:t>
      </w:r>
    </w:p>
    <w:tbl>
      <w:tblPr>
        <w:tblStyle w:val="ColorfulList-Accent6"/>
        <w:tblW w:w="8472" w:type="dxa"/>
        <w:tblLayout w:type="fixed"/>
        <w:tblLook w:val="04A0"/>
      </w:tblPr>
      <w:tblGrid>
        <w:gridCol w:w="534"/>
        <w:gridCol w:w="1559"/>
        <w:gridCol w:w="3402"/>
        <w:gridCol w:w="709"/>
        <w:gridCol w:w="1276"/>
        <w:gridCol w:w="992"/>
      </w:tblGrid>
      <w:tr w:rsidR="0017345D" w:rsidRPr="008C65B3" w:rsidTr="008437AA">
        <w:trPr>
          <w:gridAfter w:val="1"/>
          <w:cnfStyle w:val="100000000000"/>
          <w:wAfter w:w="992" w:type="dxa"/>
        </w:trPr>
        <w:tc>
          <w:tcPr>
            <w:cnfStyle w:val="001000000000"/>
            <w:tcW w:w="534" w:type="dxa"/>
            <w:tcBorders>
              <w:top w:val="single" w:sz="4" w:space="0" w:color="auto"/>
              <w:bottom w:val="single" w:sz="4" w:space="0" w:color="auto"/>
            </w:tcBorders>
            <w:shd w:val="clear" w:color="auto" w:fill="auto"/>
          </w:tcPr>
          <w:p w:rsidR="0017345D" w:rsidRPr="008C65B3" w:rsidRDefault="0017345D" w:rsidP="00B56144">
            <w:pPr>
              <w:pStyle w:val="Default"/>
              <w:jc w:val="both"/>
              <w:rPr>
                <w:b w:val="0"/>
                <w:sz w:val="20"/>
                <w:szCs w:val="20"/>
              </w:rPr>
            </w:pPr>
            <w:r w:rsidRPr="008C65B3">
              <w:rPr>
                <w:b w:val="0"/>
                <w:sz w:val="20"/>
                <w:szCs w:val="20"/>
              </w:rPr>
              <w:t>No</w:t>
            </w:r>
          </w:p>
        </w:tc>
        <w:tc>
          <w:tcPr>
            <w:tcW w:w="1559" w:type="dxa"/>
            <w:tcBorders>
              <w:top w:val="single" w:sz="4" w:space="0" w:color="auto"/>
              <w:bottom w:val="single" w:sz="4" w:space="0" w:color="auto"/>
            </w:tcBorders>
            <w:shd w:val="clear" w:color="auto" w:fill="auto"/>
          </w:tcPr>
          <w:p w:rsidR="0017345D" w:rsidRPr="008C65B3" w:rsidRDefault="0017345D" w:rsidP="00B56144">
            <w:pPr>
              <w:pStyle w:val="Default"/>
              <w:jc w:val="both"/>
              <w:cnfStyle w:val="100000000000"/>
              <w:rPr>
                <w:b w:val="0"/>
                <w:sz w:val="20"/>
                <w:szCs w:val="20"/>
              </w:rPr>
            </w:pPr>
            <w:r w:rsidRPr="008C65B3">
              <w:rPr>
                <w:b w:val="0"/>
                <w:sz w:val="20"/>
                <w:szCs w:val="20"/>
              </w:rPr>
              <w:t>Karakteristik</w:t>
            </w:r>
          </w:p>
        </w:tc>
        <w:tc>
          <w:tcPr>
            <w:tcW w:w="3402" w:type="dxa"/>
            <w:tcBorders>
              <w:top w:val="single" w:sz="4" w:space="0" w:color="auto"/>
              <w:bottom w:val="single" w:sz="4" w:space="0" w:color="auto"/>
            </w:tcBorders>
            <w:shd w:val="clear" w:color="auto" w:fill="auto"/>
          </w:tcPr>
          <w:p w:rsidR="0017345D" w:rsidRPr="008C65B3" w:rsidRDefault="0017345D" w:rsidP="00EA3551">
            <w:pPr>
              <w:pStyle w:val="Default"/>
              <w:ind w:right="505"/>
              <w:jc w:val="both"/>
              <w:cnfStyle w:val="100000000000"/>
              <w:rPr>
                <w:b w:val="0"/>
                <w:sz w:val="20"/>
                <w:szCs w:val="20"/>
              </w:rPr>
            </w:pPr>
            <w:r w:rsidRPr="008C65B3">
              <w:rPr>
                <w:b w:val="0"/>
                <w:sz w:val="20"/>
                <w:szCs w:val="20"/>
              </w:rPr>
              <w:t>Katagori</w:t>
            </w:r>
          </w:p>
        </w:tc>
        <w:tc>
          <w:tcPr>
            <w:tcW w:w="709" w:type="dxa"/>
            <w:tcBorders>
              <w:top w:val="single" w:sz="4" w:space="0" w:color="auto"/>
              <w:bottom w:val="single" w:sz="4" w:space="0" w:color="auto"/>
            </w:tcBorders>
            <w:shd w:val="clear" w:color="auto" w:fill="auto"/>
          </w:tcPr>
          <w:p w:rsidR="0017345D" w:rsidRPr="008C65B3" w:rsidRDefault="0017345D" w:rsidP="002A7535">
            <w:pPr>
              <w:pStyle w:val="Default"/>
              <w:jc w:val="both"/>
              <w:cnfStyle w:val="100000000000"/>
              <w:rPr>
                <w:b w:val="0"/>
                <w:sz w:val="20"/>
                <w:szCs w:val="20"/>
              </w:rPr>
            </w:pPr>
            <w:r w:rsidRPr="008C65B3">
              <w:rPr>
                <w:b w:val="0"/>
                <w:sz w:val="20"/>
                <w:szCs w:val="20"/>
              </w:rPr>
              <w:t>total</w:t>
            </w:r>
          </w:p>
        </w:tc>
        <w:tc>
          <w:tcPr>
            <w:tcW w:w="1276" w:type="dxa"/>
            <w:tcBorders>
              <w:top w:val="single" w:sz="4" w:space="0" w:color="auto"/>
              <w:bottom w:val="single" w:sz="4" w:space="0" w:color="auto"/>
            </w:tcBorders>
            <w:shd w:val="clear" w:color="auto" w:fill="auto"/>
          </w:tcPr>
          <w:p w:rsidR="0017345D" w:rsidRPr="008C65B3" w:rsidRDefault="0017345D" w:rsidP="00B56144">
            <w:pPr>
              <w:pStyle w:val="Default"/>
              <w:jc w:val="both"/>
              <w:cnfStyle w:val="100000000000"/>
              <w:rPr>
                <w:b w:val="0"/>
                <w:sz w:val="20"/>
                <w:szCs w:val="20"/>
              </w:rPr>
            </w:pPr>
            <w:r w:rsidRPr="008C65B3">
              <w:rPr>
                <w:b w:val="0"/>
                <w:sz w:val="20"/>
                <w:szCs w:val="20"/>
              </w:rPr>
              <w:t>presentase</w:t>
            </w:r>
          </w:p>
        </w:tc>
      </w:tr>
      <w:tr w:rsidR="0017345D" w:rsidRPr="008C65B3" w:rsidTr="008437AA">
        <w:trPr>
          <w:gridAfter w:val="1"/>
          <w:cnfStyle w:val="000000100000"/>
          <w:wAfter w:w="992" w:type="dxa"/>
        </w:trPr>
        <w:tc>
          <w:tcPr>
            <w:cnfStyle w:val="001000000000"/>
            <w:tcW w:w="534" w:type="dxa"/>
            <w:tcBorders>
              <w:top w:val="single" w:sz="4" w:space="0" w:color="auto"/>
            </w:tcBorders>
            <w:shd w:val="clear" w:color="auto" w:fill="auto"/>
          </w:tcPr>
          <w:p w:rsidR="0017345D" w:rsidRPr="008C65B3" w:rsidRDefault="0017345D" w:rsidP="00B56144">
            <w:pPr>
              <w:pStyle w:val="Default"/>
              <w:jc w:val="both"/>
              <w:rPr>
                <w:b w:val="0"/>
                <w:sz w:val="20"/>
                <w:szCs w:val="20"/>
              </w:rPr>
            </w:pPr>
            <w:r w:rsidRPr="008C65B3">
              <w:rPr>
                <w:b w:val="0"/>
                <w:sz w:val="20"/>
                <w:szCs w:val="20"/>
              </w:rPr>
              <w:t>1</w:t>
            </w:r>
          </w:p>
        </w:tc>
        <w:tc>
          <w:tcPr>
            <w:tcW w:w="1559" w:type="dxa"/>
            <w:tcBorders>
              <w:top w:val="single" w:sz="4" w:space="0" w:color="auto"/>
            </w:tcBorders>
            <w:shd w:val="clear" w:color="auto" w:fill="auto"/>
          </w:tcPr>
          <w:p w:rsidR="0017345D" w:rsidRPr="008C65B3" w:rsidRDefault="0017345D" w:rsidP="00B56144">
            <w:pPr>
              <w:pStyle w:val="Default"/>
              <w:jc w:val="both"/>
              <w:cnfStyle w:val="000000100000"/>
              <w:rPr>
                <w:sz w:val="20"/>
                <w:szCs w:val="20"/>
              </w:rPr>
            </w:pPr>
            <w:r w:rsidRPr="008C65B3">
              <w:rPr>
                <w:sz w:val="20"/>
                <w:szCs w:val="20"/>
              </w:rPr>
              <w:t>Jenis kelamin</w:t>
            </w:r>
          </w:p>
        </w:tc>
        <w:tc>
          <w:tcPr>
            <w:tcW w:w="3402" w:type="dxa"/>
            <w:tcBorders>
              <w:top w:val="single" w:sz="4" w:space="0" w:color="auto"/>
            </w:tcBorders>
            <w:shd w:val="clear" w:color="auto" w:fill="auto"/>
          </w:tcPr>
          <w:p w:rsidR="0017345D" w:rsidRPr="008C65B3" w:rsidRDefault="0017345D" w:rsidP="00B56144">
            <w:pPr>
              <w:pStyle w:val="Default"/>
              <w:jc w:val="both"/>
              <w:cnfStyle w:val="000000100000"/>
              <w:rPr>
                <w:sz w:val="20"/>
                <w:szCs w:val="20"/>
              </w:rPr>
            </w:pPr>
            <w:r w:rsidRPr="008C65B3">
              <w:rPr>
                <w:sz w:val="20"/>
                <w:szCs w:val="20"/>
              </w:rPr>
              <w:t>Laki-laki</w:t>
            </w:r>
          </w:p>
        </w:tc>
        <w:tc>
          <w:tcPr>
            <w:tcW w:w="709" w:type="dxa"/>
            <w:tcBorders>
              <w:top w:val="single" w:sz="4" w:space="0" w:color="auto"/>
            </w:tcBorders>
            <w:shd w:val="clear" w:color="auto" w:fill="auto"/>
          </w:tcPr>
          <w:p w:rsidR="0017345D" w:rsidRPr="008C65B3" w:rsidRDefault="0017345D" w:rsidP="00B56144">
            <w:pPr>
              <w:pStyle w:val="Default"/>
              <w:jc w:val="both"/>
              <w:cnfStyle w:val="000000100000"/>
              <w:rPr>
                <w:sz w:val="20"/>
                <w:szCs w:val="20"/>
              </w:rPr>
            </w:pPr>
            <w:r w:rsidRPr="008C65B3">
              <w:rPr>
                <w:sz w:val="20"/>
                <w:szCs w:val="20"/>
              </w:rPr>
              <w:t>8</w:t>
            </w:r>
          </w:p>
        </w:tc>
        <w:tc>
          <w:tcPr>
            <w:tcW w:w="1276" w:type="dxa"/>
            <w:tcBorders>
              <w:top w:val="single" w:sz="4" w:space="0" w:color="auto"/>
            </w:tcBorders>
            <w:shd w:val="clear" w:color="auto" w:fill="auto"/>
          </w:tcPr>
          <w:p w:rsidR="0017345D" w:rsidRPr="008C65B3" w:rsidRDefault="00DC0937" w:rsidP="00B56144">
            <w:pPr>
              <w:pStyle w:val="Default"/>
              <w:jc w:val="both"/>
              <w:cnfStyle w:val="000000100000"/>
              <w:rPr>
                <w:sz w:val="20"/>
                <w:szCs w:val="20"/>
              </w:rPr>
            </w:pPr>
            <w:r w:rsidRPr="008C65B3">
              <w:rPr>
                <w:sz w:val="20"/>
                <w:szCs w:val="20"/>
              </w:rPr>
              <w:t>26,6</w:t>
            </w:r>
            <w:r w:rsidR="0017345D" w:rsidRPr="008C65B3">
              <w:rPr>
                <w:sz w:val="20"/>
                <w:szCs w:val="20"/>
              </w:rPr>
              <w:t>%</w:t>
            </w:r>
          </w:p>
        </w:tc>
      </w:tr>
      <w:tr w:rsidR="008437AA" w:rsidRPr="008C65B3" w:rsidTr="008437AA">
        <w:tc>
          <w:tcPr>
            <w:cnfStyle w:val="001000000000"/>
            <w:tcW w:w="534" w:type="dxa"/>
            <w:shd w:val="clear" w:color="auto" w:fill="auto"/>
          </w:tcPr>
          <w:p w:rsidR="00805B0E" w:rsidRPr="008C65B3" w:rsidRDefault="00805B0E" w:rsidP="00B56144">
            <w:pPr>
              <w:pStyle w:val="Default"/>
              <w:jc w:val="both"/>
              <w:rPr>
                <w:b w:val="0"/>
                <w:sz w:val="20"/>
                <w:szCs w:val="20"/>
              </w:rPr>
            </w:pPr>
          </w:p>
        </w:tc>
        <w:tc>
          <w:tcPr>
            <w:tcW w:w="1559" w:type="dxa"/>
            <w:shd w:val="clear" w:color="auto" w:fill="auto"/>
          </w:tcPr>
          <w:p w:rsidR="00805B0E" w:rsidRPr="008C65B3" w:rsidRDefault="00805B0E" w:rsidP="00B56144">
            <w:pPr>
              <w:pStyle w:val="Default"/>
              <w:jc w:val="both"/>
              <w:cnfStyle w:val="000000000000"/>
              <w:rPr>
                <w:b/>
                <w:sz w:val="20"/>
                <w:szCs w:val="20"/>
              </w:rPr>
            </w:pPr>
          </w:p>
        </w:tc>
        <w:tc>
          <w:tcPr>
            <w:tcW w:w="3402" w:type="dxa"/>
            <w:shd w:val="clear" w:color="auto" w:fill="auto"/>
          </w:tcPr>
          <w:p w:rsidR="00805B0E" w:rsidRPr="008C65B3" w:rsidRDefault="002F6B70" w:rsidP="00B56144">
            <w:pPr>
              <w:pStyle w:val="Default"/>
              <w:jc w:val="both"/>
              <w:cnfStyle w:val="000000000000"/>
              <w:rPr>
                <w:sz w:val="20"/>
                <w:szCs w:val="20"/>
              </w:rPr>
            </w:pPr>
            <w:r w:rsidRPr="008C65B3">
              <w:rPr>
                <w:sz w:val="20"/>
                <w:szCs w:val="20"/>
              </w:rPr>
              <w:t>Perempuan</w:t>
            </w:r>
          </w:p>
          <w:p w:rsidR="009178AE" w:rsidRPr="008C65B3" w:rsidRDefault="009178AE" w:rsidP="00B56144">
            <w:pPr>
              <w:pStyle w:val="Default"/>
              <w:jc w:val="both"/>
              <w:cnfStyle w:val="000000000000"/>
              <w:rPr>
                <w:sz w:val="20"/>
                <w:szCs w:val="20"/>
              </w:rPr>
            </w:pPr>
          </w:p>
        </w:tc>
        <w:tc>
          <w:tcPr>
            <w:tcW w:w="709" w:type="dxa"/>
            <w:shd w:val="clear" w:color="auto" w:fill="auto"/>
          </w:tcPr>
          <w:p w:rsidR="00805B0E" w:rsidRPr="008C65B3" w:rsidRDefault="00AF4668" w:rsidP="00B56144">
            <w:pPr>
              <w:pStyle w:val="Default"/>
              <w:jc w:val="both"/>
              <w:cnfStyle w:val="000000000000"/>
              <w:rPr>
                <w:sz w:val="20"/>
                <w:szCs w:val="20"/>
              </w:rPr>
            </w:pPr>
            <w:r w:rsidRPr="008C65B3">
              <w:rPr>
                <w:sz w:val="20"/>
                <w:szCs w:val="20"/>
              </w:rPr>
              <w:t>17</w:t>
            </w:r>
          </w:p>
        </w:tc>
        <w:tc>
          <w:tcPr>
            <w:tcW w:w="1276" w:type="dxa"/>
            <w:shd w:val="clear" w:color="auto" w:fill="auto"/>
          </w:tcPr>
          <w:p w:rsidR="00805B0E" w:rsidRPr="008C65B3" w:rsidRDefault="00AF4668" w:rsidP="00B56144">
            <w:pPr>
              <w:pStyle w:val="Default"/>
              <w:jc w:val="both"/>
              <w:cnfStyle w:val="000000000000"/>
              <w:rPr>
                <w:sz w:val="20"/>
                <w:szCs w:val="20"/>
              </w:rPr>
            </w:pPr>
            <w:r w:rsidRPr="008C65B3">
              <w:rPr>
                <w:sz w:val="20"/>
                <w:szCs w:val="20"/>
              </w:rPr>
              <w:t>56,7%</w:t>
            </w:r>
          </w:p>
        </w:tc>
        <w:tc>
          <w:tcPr>
            <w:tcW w:w="992" w:type="dxa"/>
            <w:shd w:val="clear" w:color="auto" w:fill="auto"/>
          </w:tcPr>
          <w:p w:rsidR="00805B0E" w:rsidRPr="008C65B3" w:rsidRDefault="00805B0E" w:rsidP="00B216D0">
            <w:pPr>
              <w:pStyle w:val="Default"/>
              <w:jc w:val="both"/>
              <w:cnfStyle w:val="000000000000"/>
              <w:rPr>
                <w:sz w:val="20"/>
                <w:szCs w:val="20"/>
              </w:rPr>
            </w:pPr>
          </w:p>
        </w:tc>
      </w:tr>
      <w:tr w:rsidR="008437AA" w:rsidRPr="008C65B3" w:rsidTr="008437AA">
        <w:trPr>
          <w:cnfStyle w:val="000000100000"/>
        </w:trPr>
        <w:tc>
          <w:tcPr>
            <w:cnfStyle w:val="001000000000"/>
            <w:tcW w:w="534" w:type="dxa"/>
            <w:shd w:val="clear" w:color="auto" w:fill="auto"/>
          </w:tcPr>
          <w:p w:rsidR="002F6B70" w:rsidRPr="008C65B3" w:rsidRDefault="002F6B70" w:rsidP="00B56144">
            <w:pPr>
              <w:pStyle w:val="Default"/>
              <w:jc w:val="both"/>
              <w:rPr>
                <w:b w:val="0"/>
                <w:sz w:val="20"/>
                <w:szCs w:val="20"/>
              </w:rPr>
            </w:pPr>
            <w:r w:rsidRPr="008C65B3">
              <w:rPr>
                <w:b w:val="0"/>
                <w:sz w:val="20"/>
                <w:szCs w:val="20"/>
              </w:rPr>
              <w:t>2.</w:t>
            </w:r>
          </w:p>
          <w:p w:rsidR="002F6B70" w:rsidRPr="008C65B3" w:rsidRDefault="002F6B70" w:rsidP="00B56144">
            <w:pPr>
              <w:pStyle w:val="Default"/>
              <w:jc w:val="both"/>
              <w:rPr>
                <w:b w:val="0"/>
                <w:sz w:val="20"/>
                <w:szCs w:val="20"/>
              </w:rPr>
            </w:pPr>
          </w:p>
          <w:p w:rsidR="002F6B70" w:rsidRPr="008C65B3" w:rsidRDefault="002F6B70" w:rsidP="00B56144">
            <w:pPr>
              <w:pStyle w:val="Default"/>
              <w:jc w:val="both"/>
              <w:rPr>
                <w:b w:val="0"/>
                <w:sz w:val="20"/>
                <w:szCs w:val="20"/>
              </w:rPr>
            </w:pPr>
          </w:p>
          <w:p w:rsidR="009178AE" w:rsidRPr="008C65B3" w:rsidRDefault="009178AE" w:rsidP="00B56144">
            <w:pPr>
              <w:pStyle w:val="Default"/>
              <w:jc w:val="both"/>
              <w:rPr>
                <w:b w:val="0"/>
                <w:sz w:val="20"/>
                <w:szCs w:val="20"/>
              </w:rPr>
            </w:pPr>
          </w:p>
          <w:p w:rsidR="002F6B70" w:rsidRPr="008C65B3" w:rsidRDefault="002F6B70" w:rsidP="00B56144">
            <w:pPr>
              <w:pStyle w:val="Default"/>
              <w:jc w:val="both"/>
              <w:rPr>
                <w:b w:val="0"/>
                <w:sz w:val="20"/>
                <w:szCs w:val="20"/>
              </w:rPr>
            </w:pPr>
            <w:r w:rsidRPr="008C65B3">
              <w:rPr>
                <w:b w:val="0"/>
                <w:sz w:val="20"/>
                <w:szCs w:val="20"/>
              </w:rPr>
              <w:t>3.</w:t>
            </w:r>
          </w:p>
          <w:p w:rsidR="00B22CDB" w:rsidRPr="008C65B3" w:rsidRDefault="00B22CDB" w:rsidP="00B56144">
            <w:pPr>
              <w:pStyle w:val="Default"/>
              <w:jc w:val="both"/>
              <w:rPr>
                <w:b w:val="0"/>
                <w:sz w:val="20"/>
                <w:szCs w:val="20"/>
              </w:rPr>
            </w:pPr>
          </w:p>
          <w:p w:rsidR="002F6B70" w:rsidRPr="008C65B3" w:rsidRDefault="002F6B70" w:rsidP="00B56144">
            <w:pPr>
              <w:pStyle w:val="Default"/>
              <w:jc w:val="both"/>
              <w:rPr>
                <w:b w:val="0"/>
                <w:sz w:val="20"/>
                <w:szCs w:val="20"/>
              </w:rPr>
            </w:pPr>
          </w:p>
          <w:p w:rsidR="002F6B70" w:rsidRPr="008C65B3" w:rsidRDefault="002F6B70" w:rsidP="00B56144">
            <w:pPr>
              <w:pStyle w:val="Default"/>
              <w:jc w:val="both"/>
              <w:rPr>
                <w:b w:val="0"/>
                <w:sz w:val="20"/>
                <w:szCs w:val="20"/>
              </w:rPr>
            </w:pPr>
            <w:r w:rsidRPr="008C65B3">
              <w:rPr>
                <w:b w:val="0"/>
                <w:sz w:val="20"/>
                <w:szCs w:val="20"/>
              </w:rPr>
              <w:t>4.</w:t>
            </w:r>
          </w:p>
          <w:p w:rsidR="00B22CDB" w:rsidRPr="008C65B3" w:rsidRDefault="00B22CDB" w:rsidP="00B56144">
            <w:pPr>
              <w:pStyle w:val="Default"/>
              <w:jc w:val="both"/>
              <w:rPr>
                <w:b w:val="0"/>
                <w:sz w:val="20"/>
                <w:szCs w:val="20"/>
              </w:rPr>
            </w:pPr>
          </w:p>
          <w:p w:rsidR="002F6B70" w:rsidRPr="008C65B3" w:rsidRDefault="002F6B70" w:rsidP="00B56144">
            <w:pPr>
              <w:pStyle w:val="Default"/>
              <w:jc w:val="both"/>
              <w:rPr>
                <w:b w:val="0"/>
                <w:sz w:val="20"/>
                <w:szCs w:val="20"/>
              </w:rPr>
            </w:pPr>
          </w:p>
          <w:p w:rsidR="002F6B70" w:rsidRPr="008C65B3" w:rsidRDefault="002F6B70" w:rsidP="00B56144">
            <w:pPr>
              <w:pStyle w:val="Default"/>
              <w:jc w:val="both"/>
              <w:rPr>
                <w:b w:val="0"/>
                <w:sz w:val="20"/>
                <w:szCs w:val="20"/>
              </w:rPr>
            </w:pPr>
            <w:r w:rsidRPr="008C65B3">
              <w:rPr>
                <w:b w:val="0"/>
                <w:sz w:val="20"/>
                <w:szCs w:val="20"/>
              </w:rPr>
              <w:t>5.</w:t>
            </w:r>
          </w:p>
          <w:p w:rsidR="00B22CDB" w:rsidRPr="008C65B3" w:rsidRDefault="00B22CDB" w:rsidP="00B56144">
            <w:pPr>
              <w:pStyle w:val="Default"/>
              <w:jc w:val="both"/>
              <w:rPr>
                <w:b w:val="0"/>
                <w:sz w:val="20"/>
                <w:szCs w:val="20"/>
              </w:rPr>
            </w:pPr>
          </w:p>
          <w:p w:rsidR="002F6B70" w:rsidRPr="008C65B3" w:rsidRDefault="002F6B70" w:rsidP="00B56144">
            <w:pPr>
              <w:pStyle w:val="Default"/>
              <w:jc w:val="both"/>
              <w:rPr>
                <w:b w:val="0"/>
                <w:sz w:val="20"/>
                <w:szCs w:val="20"/>
              </w:rPr>
            </w:pPr>
          </w:p>
          <w:p w:rsidR="00805B0E" w:rsidRPr="008C65B3" w:rsidRDefault="002F6B70" w:rsidP="00B56144">
            <w:pPr>
              <w:pStyle w:val="Default"/>
              <w:jc w:val="both"/>
              <w:rPr>
                <w:b w:val="0"/>
                <w:sz w:val="20"/>
                <w:szCs w:val="20"/>
              </w:rPr>
            </w:pPr>
            <w:r w:rsidRPr="008C65B3">
              <w:rPr>
                <w:b w:val="0"/>
                <w:sz w:val="20"/>
                <w:szCs w:val="20"/>
              </w:rPr>
              <w:lastRenderedPageBreak/>
              <w:t xml:space="preserve">6.    </w:t>
            </w:r>
          </w:p>
        </w:tc>
        <w:tc>
          <w:tcPr>
            <w:tcW w:w="1559" w:type="dxa"/>
            <w:shd w:val="clear" w:color="auto" w:fill="auto"/>
          </w:tcPr>
          <w:p w:rsidR="00805B0E" w:rsidRPr="008C65B3" w:rsidRDefault="002F6B70" w:rsidP="00B56144">
            <w:pPr>
              <w:pStyle w:val="Default"/>
              <w:jc w:val="both"/>
              <w:cnfStyle w:val="000000100000"/>
              <w:rPr>
                <w:sz w:val="20"/>
                <w:szCs w:val="20"/>
              </w:rPr>
            </w:pPr>
            <w:r w:rsidRPr="008C65B3">
              <w:rPr>
                <w:sz w:val="20"/>
                <w:szCs w:val="20"/>
              </w:rPr>
              <w:lastRenderedPageBreak/>
              <w:t>Usia</w:t>
            </w:r>
          </w:p>
          <w:p w:rsidR="002F6B70" w:rsidRPr="008C65B3" w:rsidRDefault="002F6B70" w:rsidP="00B56144">
            <w:pPr>
              <w:pStyle w:val="Default"/>
              <w:jc w:val="both"/>
              <w:cnfStyle w:val="000000100000"/>
              <w:rPr>
                <w:sz w:val="20"/>
                <w:szCs w:val="20"/>
              </w:rPr>
            </w:pPr>
          </w:p>
          <w:p w:rsidR="009178AE" w:rsidRPr="008C65B3" w:rsidRDefault="009178AE"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r w:rsidRPr="008C65B3">
              <w:rPr>
                <w:sz w:val="20"/>
                <w:szCs w:val="20"/>
              </w:rPr>
              <w:t>Hipertensi</w:t>
            </w:r>
          </w:p>
          <w:p w:rsidR="00B22CDB" w:rsidRPr="008C65B3" w:rsidRDefault="00B22CDB"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r w:rsidRPr="008C65B3">
              <w:rPr>
                <w:sz w:val="20"/>
                <w:szCs w:val="20"/>
              </w:rPr>
              <w:t>Obesitas</w:t>
            </w:r>
          </w:p>
          <w:p w:rsidR="00B22CDB" w:rsidRPr="008C65B3" w:rsidRDefault="00B22CDB"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r w:rsidRPr="008C65B3">
              <w:rPr>
                <w:sz w:val="20"/>
                <w:szCs w:val="20"/>
              </w:rPr>
              <w:t>Aktifitas</w:t>
            </w:r>
          </w:p>
          <w:p w:rsidR="00B22CDB" w:rsidRPr="008C65B3" w:rsidRDefault="00B22CDB"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r w:rsidRPr="008C65B3">
              <w:rPr>
                <w:sz w:val="20"/>
                <w:szCs w:val="20"/>
              </w:rPr>
              <w:lastRenderedPageBreak/>
              <w:t>Merokok</w:t>
            </w:r>
          </w:p>
        </w:tc>
        <w:tc>
          <w:tcPr>
            <w:tcW w:w="3402" w:type="dxa"/>
            <w:shd w:val="clear" w:color="auto" w:fill="auto"/>
          </w:tcPr>
          <w:p w:rsidR="002F6B70" w:rsidRPr="008C65B3" w:rsidRDefault="002F6B70" w:rsidP="00B56144">
            <w:pPr>
              <w:pStyle w:val="Default"/>
              <w:jc w:val="both"/>
              <w:cnfStyle w:val="000000100000"/>
              <w:rPr>
                <w:sz w:val="20"/>
                <w:szCs w:val="20"/>
              </w:rPr>
            </w:pPr>
            <w:r w:rsidRPr="008C65B3">
              <w:rPr>
                <w:sz w:val="20"/>
                <w:szCs w:val="20"/>
              </w:rPr>
              <w:lastRenderedPageBreak/>
              <w:t>40 -54 tahun</w:t>
            </w:r>
          </w:p>
          <w:p w:rsidR="002F6B70" w:rsidRPr="008C65B3" w:rsidRDefault="002F6B70" w:rsidP="00B56144">
            <w:pPr>
              <w:pStyle w:val="Default"/>
              <w:jc w:val="both"/>
              <w:cnfStyle w:val="000000100000"/>
              <w:rPr>
                <w:sz w:val="20"/>
                <w:szCs w:val="20"/>
              </w:rPr>
            </w:pPr>
            <w:r w:rsidRPr="008C65B3">
              <w:rPr>
                <w:sz w:val="20"/>
                <w:szCs w:val="20"/>
              </w:rPr>
              <w:t>55-64 tahun</w:t>
            </w:r>
          </w:p>
          <w:p w:rsidR="002F6B70" w:rsidRPr="008C65B3" w:rsidRDefault="002F6B70" w:rsidP="00B56144">
            <w:pPr>
              <w:pStyle w:val="Default"/>
              <w:jc w:val="both"/>
              <w:cnfStyle w:val="000000100000"/>
              <w:rPr>
                <w:sz w:val="20"/>
                <w:szCs w:val="20"/>
              </w:rPr>
            </w:pPr>
            <w:r w:rsidRPr="008C65B3">
              <w:rPr>
                <w:sz w:val="20"/>
                <w:szCs w:val="20"/>
              </w:rPr>
              <w:t>≥ 65 tahun</w:t>
            </w:r>
          </w:p>
          <w:p w:rsidR="009178AE" w:rsidRPr="008C65B3" w:rsidRDefault="009178AE"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r w:rsidRPr="008C65B3">
              <w:rPr>
                <w:sz w:val="20"/>
                <w:szCs w:val="20"/>
              </w:rPr>
              <w:t>Ya</w:t>
            </w:r>
          </w:p>
          <w:p w:rsidR="002F6B70" w:rsidRPr="008C65B3" w:rsidRDefault="002F6B70" w:rsidP="00B56144">
            <w:pPr>
              <w:pStyle w:val="Default"/>
              <w:jc w:val="both"/>
              <w:cnfStyle w:val="000000100000"/>
              <w:rPr>
                <w:sz w:val="20"/>
                <w:szCs w:val="20"/>
              </w:rPr>
            </w:pPr>
            <w:r w:rsidRPr="008C65B3">
              <w:rPr>
                <w:sz w:val="20"/>
                <w:szCs w:val="20"/>
              </w:rPr>
              <w:t>Tidak</w:t>
            </w:r>
          </w:p>
          <w:p w:rsidR="00B22CDB" w:rsidRPr="008C65B3" w:rsidRDefault="00B22CDB"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r w:rsidRPr="008C65B3">
              <w:rPr>
                <w:sz w:val="20"/>
                <w:szCs w:val="20"/>
              </w:rPr>
              <w:t>Ya</w:t>
            </w:r>
          </w:p>
          <w:p w:rsidR="002F6B70" w:rsidRPr="008C65B3" w:rsidRDefault="002F6B70" w:rsidP="00B56144">
            <w:pPr>
              <w:pStyle w:val="Default"/>
              <w:jc w:val="both"/>
              <w:cnfStyle w:val="000000100000"/>
              <w:rPr>
                <w:sz w:val="20"/>
                <w:szCs w:val="20"/>
              </w:rPr>
            </w:pPr>
            <w:r w:rsidRPr="008C65B3">
              <w:rPr>
                <w:sz w:val="20"/>
                <w:szCs w:val="20"/>
              </w:rPr>
              <w:t>Tidak</w:t>
            </w:r>
          </w:p>
          <w:p w:rsidR="00B22CDB" w:rsidRPr="008C65B3" w:rsidRDefault="00B22CDB"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r w:rsidRPr="008C65B3">
              <w:rPr>
                <w:sz w:val="20"/>
                <w:szCs w:val="20"/>
              </w:rPr>
              <w:t>Ya</w:t>
            </w:r>
          </w:p>
          <w:p w:rsidR="002F6B70" w:rsidRPr="008C65B3" w:rsidRDefault="002F6B70" w:rsidP="00B56144">
            <w:pPr>
              <w:pStyle w:val="Default"/>
              <w:jc w:val="both"/>
              <w:cnfStyle w:val="000000100000"/>
              <w:rPr>
                <w:sz w:val="20"/>
                <w:szCs w:val="20"/>
              </w:rPr>
            </w:pPr>
            <w:r w:rsidRPr="008C65B3">
              <w:rPr>
                <w:sz w:val="20"/>
                <w:szCs w:val="20"/>
              </w:rPr>
              <w:t>Tidak</w:t>
            </w:r>
          </w:p>
          <w:p w:rsidR="00B22CDB" w:rsidRPr="008C65B3" w:rsidRDefault="00B22CDB" w:rsidP="00B56144">
            <w:pPr>
              <w:pStyle w:val="Default"/>
              <w:jc w:val="both"/>
              <w:cnfStyle w:val="000000100000"/>
              <w:rPr>
                <w:sz w:val="20"/>
                <w:szCs w:val="20"/>
              </w:rPr>
            </w:pPr>
          </w:p>
          <w:p w:rsidR="002F6B70" w:rsidRPr="008C65B3" w:rsidRDefault="002F6B70" w:rsidP="00B56144">
            <w:pPr>
              <w:pStyle w:val="Default"/>
              <w:jc w:val="both"/>
              <w:cnfStyle w:val="000000100000"/>
              <w:rPr>
                <w:sz w:val="20"/>
                <w:szCs w:val="20"/>
              </w:rPr>
            </w:pPr>
            <w:r w:rsidRPr="008C65B3">
              <w:rPr>
                <w:sz w:val="20"/>
                <w:szCs w:val="20"/>
              </w:rPr>
              <w:lastRenderedPageBreak/>
              <w:t>Ya</w:t>
            </w:r>
          </w:p>
          <w:p w:rsidR="002F6B70" w:rsidRPr="008C65B3" w:rsidRDefault="002F6B70" w:rsidP="00B56144">
            <w:pPr>
              <w:pStyle w:val="Default"/>
              <w:jc w:val="both"/>
              <w:cnfStyle w:val="000000100000"/>
              <w:rPr>
                <w:sz w:val="20"/>
                <w:szCs w:val="20"/>
              </w:rPr>
            </w:pPr>
            <w:r w:rsidRPr="008C65B3">
              <w:rPr>
                <w:sz w:val="20"/>
                <w:szCs w:val="20"/>
              </w:rPr>
              <w:t>Tidak</w:t>
            </w:r>
          </w:p>
        </w:tc>
        <w:tc>
          <w:tcPr>
            <w:tcW w:w="709" w:type="dxa"/>
            <w:shd w:val="clear" w:color="auto" w:fill="auto"/>
          </w:tcPr>
          <w:p w:rsidR="00805B0E" w:rsidRPr="008C65B3" w:rsidRDefault="00AF4668" w:rsidP="00B56144">
            <w:pPr>
              <w:pStyle w:val="Default"/>
              <w:jc w:val="both"/>
              <w:cnfStyle w:val="000000100000"/>
              <w:rPr>
                <w:sz w:val="20"/>
                <w:szCs w:val="20"/>
              </w:rPr>
            </w:pPr>
            <w:r w:rsidRPr="008C65B3">
              <w:rPr>
                <w:sz w:val="20"/>
                <w:szCs w:val="20"/>
              </w:rPr>
              <w:lastRenderedPageBreak/>
              <w:t>15</w:t>
            </w:r>
          </w:p>
          <w:p w:rsidR="009C7083" w:rsidRPr="008C65B3" w:rsidRDefault="00AF4668" w:rsidP="00B56144">
            <w:pPr>
              <w:pStyle w:val="Default"/>
              <w:jc w:val="both"/>
              <w:cnfStyle w:val="000000100000"/>
              <w:rPr>
                <w:sz w:val="20"/>
                <w:szCs w:val="20"/>
              </w:rPr>
            </w:pPr>
            <w:r w:rsidRPr="008C65B3">
              <w:rPr>
                <w:sz w:val="20"/>
                <w:szCs w:val="20"/>
              </w:rPr>
              <w:t>10</w:t>
            </w:r>
          </w:p>
          <w:p w:rsidR="009C7083" w:rsidRPr="008C65B3" w:rsidRDefault="009C7083" w:rsidP="00B56144">
            <w:pPr>
              <w:pStyle w:val="Default"/>
              <w:jc w:val="both"/>
              <w:cnfStyle w:val="000000100000"/>
              <w:rPr>
                <w:sz w:val="20"/>
                <w:szCs w:val="20"/>
              </w:rPr>
            </w:pPr>
            <w:r w:rsidRPr="008C65B3">
              <w:rPr>
                <w:sz w:val="20"/>
                <w:szCs w:val="20"/>
              </w:rPr>
              <w:t>0</w:t>
            </w:r>
          </w:p>
          <w:p w:rsidR="009178AE" w:rsidRPr="008C65B3" w:rsidRDefault="009178AE" w:rsidP="00B56144">
            <w:pPr>
              <w:pStyle w:val="Default"/>
              <w:jc w:val="both"/>
              <w:cnfStyle w:val="000000100000"/>
              <w:rPr>
                <w:sz w:val="20"/>
                <w:szCs w:val="20"/>
              </w:rPr>
            </w:pPr>
          </w:p>
          <w:p w:rsidR="00D34A9E" w:rsidRPr="008C65B3" w:rsidRDefault="00AF4668" w:rsidP="00B56144">
            <w:pPr>
              <w:pStyle w:val="Default"/>
              <w:jc w:val="both"/>
              <w:cnfStyle w:val="000000100000"/>
              <w:rPr>
                <w:sz w:val="20"/>
                <w:szCs w:val="20"/>
              </w:rPr>
            </w:pPr>
            <w:r w:rsidRPr="008C65B3">
              <w:rPr>
                <w:sz w:val="20"/>
                <w:szCs w:val="20"/>
              </w:rPr>
              <w:t>14</w:t>
            </w:r>
            <w:r w:rsidR="00D34A9E" w:rsidRPr="008C65B3">
              <w:rPr>
                <w:sz w:val="20"/>
                <w:szCs w:val="20"/>
              </w:rPr>
              <w:t xml:space="preserve"> </w:t>
            </w:r>
          </w:p>
          <w:p w:rsidR="008F0937" w:rsidRPr="008C65B3" w:rsidRDefault="00AF4668" w:rsidP="00B56144">
            <w:pPr>
              <w:pStyle w:val="Default"/>
              <w:jc w:val="both"/>
              <w:cnfStyle w:val="000000100000"/>
              <w:rPr>
                <w:sz w:val="20"/>
                <w:szCs w:val="20"/>
              </w:rPr>
            </w:pPr>
            <w:r w:rsidRPr="008C65B3">
              <w:rPr>
                <w:sz w:val="20"/>
                <w:szCs w:val="20"/>
              </w:rPr>
              <w:t>11</w:t>
            </w:r>
          </w:p>
          <w:p w:rsidR="00B22CDB" w:rsidRPr="008C65B3" w:rsidRDefault="00B22CDB" w:rsidP="00B56144">
            <w:pPr>
              <w:pStyle w:val="Default"/>
              <w:jc w:val="both"/>
              <w:cnfStyle w:val="000000100000"/>
              <w:rPr>
                <w:sz w:val="20"/>
                <w:szCs w:val="20"/>
              </w:rPr>
            </w:pPr>
          </w:p>
          <w:p w:rsidR="008F0937" w:rsidRPr="008C65B3" w:rsidRDefault="00AF4668" w:rsidP="00B56144">
            <w:pPr>
              <w:pStyle w:val="Default"/>
              <w:jc w:val="both"/>
              <w:cnfStyle w:val="000000100000"/>
              <w:rPr>
                <w:sz w:val="20"/>
                <w:szCs w:val="20"/>
              </w:rPr>
            </w:pPr>
            <w:r w:rsidRPr="008C65B3">
              <w:rPr>
                <w:sz w:val="20"/>
                <w:szCs w:val="20"/>
              </w:rPr>
              <w:t>13</w:t>
            </w:r>
          </w:p>
          <w:p w:rsidR="008F0937" w:rsidRPr="008C65B3" w:rsidRDefault="00AF4668" w:rsidP="00B56144">
            <w:pPr>
              <w:pStyle w:val="Default"/>
              <w:jc w:val="both"/>
              <w:cnfStyle w:val="000000100000"/>
              <w:rPr>
                <w:sz w:val="20"/>
                <w:szCs w:val="20"/>
              </w:rPr>
            </w:pPr>
            <w:r w:rsidRPr="008C65B3">
              <w:rPr>
                <w:sz w:val="20"/>
                <w:szCs w:val="20"/>
              </w:rPr>
              <w:t>12</w:t>
            </w:r>
          </w:p>
          <w:p w:rsidR="00B22CDB" w:rsidRPr="008C65B3" w:rsidRDefault="00B22CDB" w:rsidP="00B56144">
            <w:pPr>
              <w:pStyle w:val="Default"/>
              <w:jc w:val="both"/>
              <w:cnfStyle w:val="000000100000"/>
              <w:rPr>
                <w:sz w:val="20"/>
                <w:szCs w:val="20"/>
              </w:rPr>
            </w:pPr>
          </w:p>
          <w:p w:rsidR="008F0937" w:rsidRPr="008C65B3" w:rsidRDefault="00AF4668" w:rsidP="00B56144">
            <w:pPr>
              <w:pStyle w:val="Default"/>
              <w:jc w:val="both"/>
              <w:cnfStyle w:val="000000100000"/>
              <w:rPr>
                <w:sz w:val="20"/>
                <w:szCs w:val="20"/>
              </w:rPr>
            </w:pPr>
            <w:r w:rsidRPr="008C65B3">
              <w:rPr>
                <w:sz w:val="20"/>
                <w:szCs w:val="20"/>
              </w:rPr>
              <w:t>25</w:t>
            </w:r>
          </w:p>
          <w:p w:rsidR="008F0937" w:rsidRPr="008C65B3" w:rsidRDefault="008F0937" w:rsidP="00B56144">
            <w:pPr>
              <w:pStyle w:val="Default"/>
              <w:jc w:val="both"/>
              <w:cnfStyle w:val="000000100000"/>
              <w:rPr>
                <w:sz w:val="20"/>
                <w:szCs w:val="20"/>
              </w:rPr>
            </w:pPr>
            <w:r w:rsidRPr="008C65B3">
              <w:rPr>
                <w:sz w:val="20"/>
                <w:szCs w:val="20"/>
              </w:rPr>
              <w:t>0</w:t>
            </w:r>
          </w:p>
          <w:p w:rsidR="00B22CDB" w:rsidRPr="008C65B3" w:rsidRDefault="00B22CDB" w:rsidP="00B56144">
            <w:pPr>
              <w:pStyle w:val="Default"/>
              <w:jc w:val="both"/>
              <w:cnfStyle w:val="000000100000"/>
              <w:rPr>
                <w:sz w:val="20"/>
                <w:szCs w:val="20"/>
              </w:rPr>
            </w:pPr>
          </w:p>
          <w:p w:rsidR="008F0937" w:rsidRPr="008C65B3" w:rsidRDefault="008F0937" w:rsidP="00B56144">
            <w:pPr>
              <w:pStyle w:val="Default"/>
              <w:jc w:val="both"/>
              <w:cnfStyle w:val="000000100000"/>
              <w:rPr>
                <w:sz w:val="20"/>
                <w:szCs w:val="20"/>
              </w:rPr>
            </w:pPr>
            <w:r w:rsidRPr="008C65B3">
              <w:rPr>
                <w:sz w:val="20"/>
                <w:szCs w:val="20"/>
              </w:rPr>
              <w:lastRenderedPageBreak/>
              <w:t>7</w:t>
            </w:r>
          </w:p>
          <w:p w:rsidR="008F0937" w:rsidRPr="008C65B3" w:rsidRDefault="00AF4668" w:rsidP="00B56144">
            <w:pPr>
              <w:pStyle w:val="Default"/>
              <w:jc w:val="both"/>
              <w:cnfStyle w:val="000000100000"/>
              <w:rPr>
                <w:sz w:val="20"/>
                <w:szCs w:val="20"/>
              </w:rPr>
            </w:pPr>
            <w:r w:rsidRPr="008C65B3">
              <w:rPr>
                <w:sz w:val="20"/>
                <w:szCs w:val="20"/>
              </w:rPr>
              <w:t>18</w:t>
            </w:r>
          </w:p>
        </w:tc>
        <w:tc>
          <w:tcPr>
            <w:tcW w:w="1276" w:type="dxa"/>
            <w:shd w:val="clear" w:color="auto" w:fill="auto"/>
          </w:tcPr>
          <w:p w:rsidR="00805B0E" w:rsidRPr="008C65B3" w:rsidRDefault="00AF4668" w:rsidP="00B56144">
            <w:pPr>
              <w:pStyle w:val="Default"/>
              <w:jc w:val="both"/>
              <w:cnfStyle w:val="000000100000"/>
              <w:rPr>
                <w:sz w:val="20"/>
                <w:szCs w:val="20"/>
              </w:rPr>
            </w:pPr>
            <w:r w:rsidRPr="008C65B3">
              <w:rPr>
                <w:sz w:val="20"/>
                <w:szCs w:val="20"/>
              </w:rPr>
              <w:lastRenderedPageBreak/>
              <w:t>50,0</w:t>
            </w:r>
            <w:r w:rsidR="00E41EE7" w:rsidRPr="008C65B3">
              <w:rPr>
                <w:sz w:val="20"/>
                <w:szCs w:val="20"/>
              </w:rPr>
              <w:t>%</w:t>
            </w:r>
          </w:p>
          <w:p w:rsidR="00D34A9E" w:rsidRPr="008C65B3" w:rsidRDefault="00AF4668" w:rsidP="00B56144">
            <w:pPr>
              <w:pStyle w:val="Default"/>
              <w:jc w:val="both"/>
              <w:cnfStyle w:val="000000100000"/>
              <w:rPr>
                <w:sz w:val="20"/>
                <w:szCs w:val="20"/>
              </w:rPr>
            </w:pPr>
            <w:r w:rsidRPr="008C65B3">
              <w:rPr>
                <w:sz w:val="20"/>
                <w:szCs w:val="20"/>
              </w:rPr>
              <w:t>33,3</w:t>
            </w:r>
            <w:r w:rsidR="00E41EE7" w:rsidRPr="008C65B3">
              <w:rPr>
                <w:sz w:val="20"/>
                <w:szCs w:val="20"/>
              </w:rPr>
              <w:t>%</w:t>
            </w:r>
          </w:p>
          <w:p w:rsidR="00D34A9E" w:rsidRPr="008C65B3" w:rsidRDefault="00E41EE7" w:rsidP="00B56144">
            <w:pPr>
              <w:pStyle w:val="Default"/>
              <w:jc w:val="both"/>
              <w:cnfStyle w:val="000000100000"/>
              <w:rPr>
                <w:sz w:val="20"/>
                <w:szCs w:val="20"/>
              </w:rPr>
            </w:pPr>
            <w:r w:rsidRPr="008C65B3">
              <w:rPr>
                <w:sz w:val="20"/>
                <w:szCs w:val="20"/>
              </w:rPr>
              <w:t>0%</w:t>
            </w:r>
          </w:p>
          <w:p w:rsidR="009178AE" w:rsidRPr="008C65B3" w:rsidRDefault="009178AE" w:rsidP="00B56144">
            <w:pPr>
              <w:pStyle w:val="Default"/>
              <w:jc w:val="both"/>
              <w:cnfStyle w:val="000000100000"/>
              <w:rPr>
                <w:sz w:val="20"/>
                <w:szCs w:val="20"/>
              </w:rPr>
            </w:pPr>
          </w:p>
          <w:p w:rsidR="00D34A9E" w:rsidRPr="008C65B3" w:rsidRDefault="00DC0937" w:rsidP="00B56144">
            <w:pPr>
              <w:pStyle w:val="Default"/>
              <w:jc w:val="both"/>
              <w:cnfStyle w:val="000000100000"/>
              <w:rPr>
                <w:sz w:val="20"/>
                <w:szCs w:val="20"/>
              </w:rPr>
            </w:pPr>
            <w:r w:rsidRPr="008C65B3">
              <w:rPr>
                <w:sz w:val="20"/>
                <w:szCs w:val="20"/>
              </w:rPr>
              <w:t>46,6</w:t>
            </w:r>
            <w:r w:rsidR="008F0937" w:rsidRPr="008C65B3">
              <w:rPr>
                <w:sz w:val="20"/>
                <w:szCs w:val="20"/>
              </w:rPr>
              <w:t>%</w:t>
            </w:r>
          </w:p>
          <w:p w:rsidR="008F0937" w:rsidRPr="008C65B3" w:rsidRDefault="00AF4668" w:rsidP="00B56144">
            <w:pPr>
              <w:pStyle w:val="Default"/>
              <w:jc w:val="both"/>
              <w:cnfStyle w:val="000000100000"/>
              <w:rPr>
                <w:sz w:val="20"/>
                <w:szCs w:val="20"/>
              </w:rPr>
            </w:pPr>
            <w:r w:rsidRPr="008C65B3">
              <w:rPr>
                <w:sz w:val="20"/>
                <w:szCs w:val="20"/>
              </w:rPr>
              <w:t>36,7</w:t>
            </w:r>
            <w:r w:rsidR="008F0937" w:rsidRPr="008C65B3">
              <w:rPr>
                <w:sz w:val="20"/>
                <w:szCs w:val="20"/>
              </w:rPr>
              <w:t>%</w:t>
            </w:r>
          </w:p>
          <w:p w:rsidR="00B22CDB" w:rsidRPr="008C65B3" w:rsidRDefault="00B22CDB" w:rsidP="00B56144">
            <w:pPr>
              <w:pStyle w:val="Default"/>
              <w:jc w:val="both"/>
              <w:cnfStyle w:val="000000100000"/>
              <w:rPr>
                <w:sz w:val="20"/>
                <w:szCs w:val="20"/>
              </w:rPr>
            </w:pPr>
          </w:p>
          <w:p w:rsidR="008F0937" w:rsidRPr="008C65B3" w:rsidRDefault="00AF4668" w:rsidP="00B56144">
            <w:pPr>
              <w:pStyle w:val="Default"/>
              <w:jc w:val="both"/>
              <w:cnfStyle w:val="000000100000"/>
              <w:rPr>
                <w:sz w:val="20"/>
                <w:szCs w:val="20"/>
              </w:rPr>
            </w:pPr>
            <w:r w:rsidRPr="008C65B3">
              <w:rPr>
                <w:sz w:val="20"/>
                <w:szCs w:val="20"/>
              </w:rPr>
              <w:t>4</w:t>
            </w:r>
            <w:r w:rsidR="008F0937" w:rsidRPr="008C65B3">
              <w:rPr>
                <w:sz w:val="20"/>
                <w:szCs w:val="20"/>
              </w:rPr>
              <w:t>3,3%</w:t>
            </w:r>
          </w:p>
          <w:p w:rsidR="008F0937" w:rsidRPr="008C65B3" w:rsidRDefault="00AF4668" w:rsidP="00B56144">
            <w:pPr>
              <w:pStyle w:val="Default"/>
              <w:jc w:val="both"/>
              <w:cnfStyle w:val="000000100000"/>
              <w:rPr>
                <w:sz w:val="20"/>
                <w:szCs w:val="20"/>
              </w:rPr>
            </w:pPr>
            <w:r w:rsidRPr="008C65B3">
              <w:rPr>
                <w:sz w:val="20"/>
                <w:szCs w:val="20"/>
              </w:rPr>
              <w:t>40,0</w:t>
            </w:r>
            <w:r w:rsidR="008F0937" w:rsidRPr="008C65B3">
              <w:rPr>
                <w:sz w:val="20"/>
                <w:szCs w:val="20"/>
              </w:rPr>
              <w:t>%</w:t>
            </w:r>
          </w:p>
          <w:p w:rsidR="00B22CDB" w:rsidRPr="008C65B3" w:rsidRDefault="00B22CDB" w:rsidP="00B56144">
            <w:pPr>
              <w:pStyle w:val="Default"/>
              <w:jc w:val="both"/>
              <w:cnfStyle w:val="000000100000"/>
              <w:rPr>
                <w:sz w:val="20"/>
                <w:szCs w:val="20"/>
              </w:rPr>
            </w:pPr>
          </w:p>
          <w:p w:rsidR="008F0937" w:rsidRPr="008C65B3" w:rsidRDefault="00AF4668" w:rsidP="00B56144">
            <w:pPr>
              <w:pStyle w:val="Default"/>
              <w:jc w:val="both"/>
              <w:cnfStyle w:val="000000100000"/>
              <w:rPr>
                <w:sz w:val="20"/>
                <w:szCs w:val="20"/>
              </w:rPr>
            </w:pPr>
            <w:r w:rsidRPr="008C65B3">
              <w:rPr>
                <w:sz w:val="20"/>
                <w:szCs w:val="20"/>
              </w:rPr>
              <w:t>83,3</w:t>
            </w:r>
            <w:r w:rsidR="008F0937" w:rsidRPr="008C65B3">
              <w:rPr>
                <w:sz w:val="20"/>
                <w:szCs w:val="20"/>
              </w:rPr>
              <w:t>%</w:t>
            </w:r>
          </w:p>
          <w:p w:rsidR="008F0937" w:rsidRPr="008C65B3" w:rsidRDefault="008F0937" w:rsidP="00B56144">
            <w:pPr>
              <w:pStyle w:val="Default"/>
              <w:jc w:val="both"/>
              <w:cnfStyle w:val="000000100000"/>
              <w:rPr>
                <w:sz w:val="20"/>
                <w:szCs w:val="20"/>
              </w:rPr>
            </w:pPr>
            <w:r w:rsidRPr="008C65B3">
              <w:rPr>
                <w:sz w:val="20"/>
                <w:szCs w:val="20"/>
              </w:rPr>
              <w:t>0%</w:t>
            </w:r>
          </w:p>
          <w:p w:rsidR="00B22CDB" w:rsidRPr="008C65B3" w:rsidRDefault="00B22CDB" w:rsidP="00B56144">
            <w:pPr>
              <w:pStyle w:val="Default"/>
              <w:jc w:val="both"/>
              <w:cnfStyle w:val="000000100000"/>
              <w:rPr>
                <w:sz w:val="20"/>
                <w:szCs w:val="20"/>
              </w:rPr>
            </w:pPr>
          </w:p>
          <w:p w:rsidR="008F0937" w:rsidRPr="008C65B3" w:rsidRDefault="008F0937" w:rsidP="00B56144">
            <w:pPr>
              <w:pStyle w:val="Default"/>
              <w:jc w:val="both"/>
              <w:cnfStyle w:val="000000100000"/>
              <w:rPr>
                <w:sz w:val="20"/>
                <w:szCs w:val="20"/>
              </w:rPr>
            </w:pPr>
            <w:r w:rsidRPr="008C65B3">
              <w:rPr>
                <w:sz w:val="20"/>
                <w:szCs w:val="20"/>
              </w:rPr>
              <w:lastRenderedPageBreak/>
              <w:t>23,3%</w:t>
            </w:r>
          </w:p>
          <w:p w:rsidR="008F0937" w:rsidRPr="008C65B3" w:rsidRDefault="00AF4668" w:rsidP="00B56144">
            <w:pPr>
              <w:pStyle w:val="Default"/>
              <w:jc w:val="both"/>
              <w:cnfStyle w:val="000000100000"/>
              <w:rPr>
                <w:sz w:val="20"/>
                <w:szCs w:val="20"/>
              </w:rPr>
            </w:pPr>
            <w:r w:rsidRPr="008C65B3">
              <w:rPr>
                <w:sz w:val="20"/>
                <w:szCs w:val="20"/>
              </w:rPr>
              <w:t>60,0</w:t>
            </w:r>
            <w:r w:rsidR="008F0937" w:rsidRPr="008C65B3">
              <w:rPr>
                <w:sz w:val="20"/>
                <w:szCs w:val="20"/>
              </w:rPr>
              <w:t>%</w:t>
            </w:r>
          </w:p>
          <w:p w:rsidR="0017345D" w:rsidRPr="008C65B3" w:rsidRDefault="0017345D" w:rsidP="00B56144">
            <w:pPr>
              <w:pStyle w:val="Default"/>
              <w:jc w:val="both"/>
              <w:cnfStyle w:val="000000100000"/>
              <w:rPr>
                <w:sz w:val="20"/>
                <w:szCs w:val="20"/>
              </w:rPr>
            </w:pPr>
          </w:p>
        </w:tc>
        <w:tc>
          <w:tcPr>
            <w:tcW w:w="992" w:type="dxa"/>
            <w:shd w:val="clear" w:color="auto" w:fill="auto"/>
          </w:tcPr>
          <w:p w:rsidR="00805B0E" w:rsidRPr="008C65B3" w:rsidRDefault="00805B0E"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p w:rsidR="00B216D0" w:rsidRPr="008C65B3" w:rsidRDefault="00B216D0" w:rsidP="00B56144">
            <w:pPr>
              <w:pStyle w:val="Default"/>
              <w:jc w:val="both"/>
              <w:cnfStyle w:val="000000100000"/>
              <w:rPr>
                <w:b/>
                <w:sz w:val="20"/>
                <w:szCs w:val="20"/>
              </w:rPr>
            </w:pPr>
          </w:p>
        </w:tc>
      </w:tr>
    </w:tbl>
    <w:p w:rsidR="0017345D" w:rsidRPr="008C65B3" w:rsidRDefault="0017345D" w:rsidP="0017345D">
      <w:pPr>
        <w:pStyle w:val="HTMLPreformatted"/>
        <w:shd w:val="clear" w:color="auto" w:fill="F8F9FA"/>
        <w:jc w:val="both"/>
        <w:rPr>
          <w:rFonts w:ascii="Times New Roman" w:hAnsi="Times New Roman" w:cs="Times New Roman"/>
          <w:color w:val="222222"/>
          <w:lang w:val="id-ID"/>
        </w:rPr>
      </w:pPr>
      <w:r w:rsidRPr="008C65B3">
        <w:rPr>
          <w:rFonts w:ascii="Times New Roman" w:hAnsi="Times New Roman" w:cs="Times New Roman"/>
          <w:color w:val="222222"/>
          <w:lang w:val="id-ID"/>
        </w:rPr>
        <w:lastRenderedPageBreak/>
        <w:t xml:space="preserve">Tabel </w:t>
      </w:r>
      <w:r w:rsidRPr="008C65B3">
        <w:rPr>
          <w:rFonts w:ascii="Times New Roman" w:hAnsi="Times New Roman" w:cs="Times New Roman"/>
          <w:color w:val="222222"/>
        </w:rPr>
        <w:t>4 M</w:t>
      </w:r>
      <w:r w:rsidRPr="008C65B3">
        <w:rPr>
          <w:rFonts w:ascii="Times New Roman" w:hAnsi="Times New Roman" w:cs="Times New Roman"/>
          <w:color w:val="222222"/>
          <w:lang w:val="id-ID"/>
        </w:rPr>
        <w:t xml:space="preserve">enggambarkan bahwa sebagian besar </w:t>
      </w:r>
      <w:r w:rsidRPr="008C65B3">
        <w:rPr>
          <w:rFonts w:ascii="Times New Roman" w:hAnsi="Times New Roman" w:cs="Times New Roman"/>
          <w:color w:val="222222"/>
        </w:rPr>
        <w:t xml:space="preserve">penderita prediabetes/diabetes </w:t>
      </w:r>
      <w:r w:rsidRPr="008C65B3">
        <w:rPr>
          <w:rFonts w:ascii="Times New Roman" w:hAnsi="Times New Roman" w:cs="Times New Roman"/>
          <w:color w:val="222222"/>
          <w:lang w:val="id-ID"/>
        </w:rPr>
        <w:t xml:space="preserve">di </w:t>
      </w:r>
      <w:r w:rsidRPr="008C65B3">
        <w:rPr>
          <w:rFonts w:ascii="Times New Roman" w:hAnsi="Times New Roman" w:cs="Times New Roman"/>
          <w:color w:val="222222"/>
        </w:rPr>
        <w:t xml:space="preserve">wilayah pegunungan </w:t>
      </w:r>
      <w:r w:rsidRPr="008C65B3">
        <w:rPr>
          <w:rFonts w:ascii="Times New Roman" w:hAnsi="Times New Roman" w:cs="Times New Roman"/>
          <w:color w:val="222222"/>
          <w:lang w:val="id-ID"/>
        </w:rPr>
        <w:t>adalah perempuan (</w:t>
      </w:r>
      <w:r w:rsidR="00CE2F80" w:rsidRPr="008C65B3">
        <w:rPr>
          <w:rFonts w:ascii="Times New Roman" w:hAnsi="Times New Roman" w:cs="Times New Roman"/>
          <w:color w:val="222222"/>
        </w:rPr>
        <w:t>56</w:t>
      </w:r>
      <w:r w:rsidR="00360CBD" w:rsidRPr="008C65B3">
        <w:rPr>
          <w:rFonts w:ascii="Times New Roman" w:hAnsi="Times New Roman" w:cs="Times New Roman"/>
          <w:color w:val="222222"/>
          <w:lang w:val="id-ID"/>
        </w:rPr>
        <w:t>,</w:t>
      </w:r>
      <w:r w:rsidR="00CE2F80" w:rsidRPr="008C65B3">
        <w:rPr>
          <w:rFonts w:ascii="Times New Roman" w:hAnsi="Times New Roman" w:cs="Times New Roman"/>
          <w:color w:val="222222"/>
        </w:rPr>
        <w:t>7</w:t>
      </w:r>
      <w:r w:rsidRPr="008C65B3">
        <w:rPr>
          <w:rFonts w:ascii="Times New Roman" w:hAnsi="Times New Roman" w:cs="Times New Roman"/>
          <w:color w:val="222222"/>
          <w:lang w:val="id-ID"/>
        </w:rPr>
        <w:t>%)</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Terlihat pada</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dasar usia, sebagian besar subyek pra-diabetes berada dalam suatu</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 xml:space="preserve">rentang usia antara </w:t>
      </w:r>
      <w:r w:rsidRPr="008C65B3">
        <w:rPr>
          <w:rFonts w:ascii="Times New Roman" w:hAnsi="Times New Roman" w:cs="Times New Roman"/>
          <w:color w:val="222222"/>
        </w:rPr>
        <w:t>40</w:t>
      </w:r>
      <w:r w:rsidRPr="008C65B3">
        <w:rPr>
          <w:rFonts w:ascii="Times New Roman" w:hAnsi="Times New Roman" w:cs="Times New Roman"/>
          <w:color w:val="222222"/>
          <w:lang w:val="id-ID"/>
        </w:rPr>
        <w:t xml:space="preserve"> – </w:t>
      </w:r>
      <w:r w:rsidRPr="008C65B3">
        <w:rPr>
          <w:rFonts w:ascii="Times New Roman" w:hAnsi="Times New Roman" w:cs="Times New Roman"/>
          <w:color w:val="222222"/>
        </w:rPr>
        <w:t>5</w:t>
      </w:r>
      <w:r w:rsidRPr="008C65B3">
        <w:rPr>
          <w:rFonts w:ascii="Times New Roman" w:hAnsi="Times New Roman" w:cs="Times New Roman"/>
          <w:color w:val="222222"/>
          <w:lang w:val="id-ID"/>
        </w:rPr>
        <w:t>4</w:t>
      </w:r>
      <w:r w:rsidR="00CE2F80" w:rsidRPr="008C65B3">
        <w:rPr>
          <w:rFonts w:ascii="Times New Roman" w:hAnsi="Times New Roman" w:cs="Times New Roman"/>
          <w:color w:val="222222"/>
        </w:rPr>
        <w:t>(50</w:t>
      </w:r>
      <w:r w:rsidR="00D30F8A" w:rsidRPr="008C65B3">
        <w:rPr>
          <w:rFonts w:ascii="Times New Roman" w:hAnsi="Times New Roman" w:cs="Times New Roman"/>
          <w:color w:val="222222"/>
        </w:rPr>
        <w:t>%)</w:t>
      </w:r>
      <w:r w:rsidRPr="008C65B3">
        <w:rPr>
          <w:rFonts w:ascii="Times New Roman" w:hAnsi="Times New Roman" w:cs="Times New Roman"/>
          <w:color w:val="222222"/>
        </w:rPr>
        <w:t xml:space="preserve">, yang </w:t>
      </w:r>
      <w:r w:rsidR="00CE2F80" w:rsidRPr="008C65B3">
        <w:rPr>
          <w:rFonts w:ascii="Times New Roman" w:hAnsi="Times New Roman" w:cs="Times New Roman"/>
          <w:color w:val="222222"/>
        </w:rPr>
        <w:t>menderita hipertensi sebesar (46,6</w:t>
      </w:r>
      <w:r w:rsidRPr="008C65B3">
        <w:rPr>
          <w:rFonts w:ascii="Times New Roman" w:hAnsi="Times New Roman" w:cs="Times New Roman"/>
          <w:color w:val="222222"/>
        </w:rPr>
        <w:t>%), se</w:t>
      </w:r>
      <w:r w:rsidR="00CE2F80" w:rsidRPr="008C65B3">
        <w:rPr>
          <w:rFonts w:ascii="Times New Roman" w:hAnsi="Times New Roman" w:cs="Times New Roman"/>
          <w:color w:val="222222"/>
        </w:rPr>
        <w:t>bagian besar obesitas sebesar (43,3%), dan ya</w:t>
      </w:r>
      <w:r w:rsidRPr="008C65B3">
        <w:rPr>
          <w:rFonts w:ascii="Times New Roman" w:hAnsi="Times New Roman" w:cs="Times New Roman"/>
          <w:color w:val="222222"/>
        </w:rPr>
        <w:t>n</w:t>
      </w:r>
      <w:r w:rsidR="00CE2F80" w:rsidRPr="008C65B3">
        <w:rPr>
          <w:rFonts w:ascii="Times New Roman" w:hAnsi="Times New Roman" w:cs="Times New Roman"/>
          <w:color w:val="222222"/>
        </w:rPr>
        <w:t>g</w:t>
      </w:r>
      <w:r w:rsidRPr="008C65B3">
        <w:rPr>
          <w:rFonts w:ascii="Times New Roman" w:hAnsi="Times New Roman" w:cs="Times New Roman"/>
          <w:color w:val="222222"/>
        </w:rPr>
        <w:t xml:space="preserve"> aktif ber</w:t>
      </w:r>
      <w:r w:rsidR="00CE2F80" w:rsidRPr="008C65B3">
        <w:rPr>
          <w:rFonts w:ascii="Times New Roman" w:hAnsi="Times New Roman" w:cs="Times New Roman"/>
          <w:color w:val="222222"/>
        </w:rPr>
        <w:t>aktifitas (83,3</w:t>
      </w:r>
      <w:r w:rsidRPr="008C65B3">
        <w:rPr>
          <w:rFonts w:ascii="Times New Roman" w:hAnsi="Times New Roman" w:cs="Times New Roman"/>
          <w:color w:val="222222"/>
        </w:rPr>
        <w:t>%) dan se</w:t>
      </w:r>
      <w:r w:rsidR="00CE2F80" w:rsidRPr="008C65B3">
        <w:rPr>
          <w:rFonts w:ascii="Times New Roman" w:hAnsi="Times New Roman" w:cs="Times New Roman"/>
          <w:color w:val="222222"/>
        </w:rPr>
        <w:t>bagian besar tidak merokok (60</w:t>
      </w:r>
      <w:r w:rsidRPr="008C65B3">
        <w:rPr>
          <w:rFonts w:ascii="Times New Roman" w:hAnsi="Times New Roman" w:cs="Times New Roman"/>
          <w:color w:val="222222"/>
        </w:rPr>
        <w:t xml:space="preserve">%).  </w:t>
      </w:r>
    </w:p>
    <w:p w:rsidR="004D64F5" w:rsidRPr="008C65B3" w:rsidRDefault="004D64F5" w:rsidP="00B56144">
      <w:pPr>
        <w:pStyle w:val="Default"/>
        <w:jc w:val="both"/>
        <w:rPr>
          <w:b/>
          <w:sz w:val="20"/>
          <w:szCs w:val="20"/>
        </w:rPr>
      </w:pPr>
    </w:p>
    <w:p w:rsidR="00154F97" w:rsidRPr="008C65B3" w:rsidRDefault="00154F97" w:rsidP="00B56144">
      <w:pPr>
        <w:pStyle w:val="Default"/>
        <w:jc w:val="both"/>
        <w:rPr>
          <w:b/>
          <w:sz w:val="20"/>
          <w:szCs w:val="20"/>
        </w:rPr>
      </w:pPr>
    </w:p>
    <w:p w:rsidR="001351DE" w:rsidRPr="008C65B3" w:rsidRDefault="008F0937" w:rsidP="00B56144">
      <w:pPr>
        <w:pStyle w:val="Default"/>
        <w:jc w:val="both"/>
        <w:rPr>
          <w:b/>
          <w:sz w:val="20"/>
          <w:szCs w:val="20"/>
        </w:rPr>
      </w:pPr>
      <w:r w:rsidRPr="008C65B3">
        <w:rPr>
          <w:sz w:val="20"/>
          <w:szCs w:val="20"/>
        </w:rPr>
        <w:t>Tabel 5.</w:t>
      </w:r>
      <w:r w:rsidRPr="008C65B3">
        <w:rPr>
          <w:b/>
          <w:sz w:val="20"/>
          <w:szCs w:val="20"/>
        </w:rPr>
        <w:t xml:space="preserve"> </w:t>
      </w:r>
      <w:r w:rsidRPr="008C65B3">
        <w:rPr>
          <w:sz w:val="20"/>
          <w:szCs w:val="20"/>
        </w:rPr>
        <w:t>Karakteristik prediabetes di wilayah pesisir</w:t>
      </w:r>
    </w:p>
    <w:tbl>
      <w:tblPr>
        <w:tblStyle w:val="ColorfulList-Accent6"/>
        <w:tblW w:w="8472" w:type="dxa"/>
        <w:tblLayout w:type="fixed"/>
        <w:tblLook w:val="04A0"/>
      </w:tblPr>
      <w:tblGrid>
        <w:gridCol w:w="534"/>
        <w:gridCol w:w="1559"/>
        <w:gridCol w:w="3402"/>
        <w:gridCol w:w="709"/>
        <w:gridCol w:w="1276"/>
        <w:gridCol w:w="992"/>
      </w:tblGrid>
      <w:tr w:rsidR="0017345D" w:rsidRPr="008C65B3" w:rsidTr="008437AA">
        <w:trPr>
          <w:gridAfter w:val="1"/>
          <w:cnfStyle w:val="100000000000"/>
          <w:wAfter w:w="992" w:type="dxa"/>
        </w:trPr>
        <w:tc>
          <w:tcPr>
            <w:cnfStyle w:val="001000000000"/>
            <w:tcW w:w="534" w:type="dxa"/>
            <w:tcBorders>
              <w:top w:val="single" w:sz="4" w:space="0" w:color="auto"/>
              <w:bottom w:val="single" w:sz="4" w:space="0" w:color="auto"/>
            </w:tcBorders>
            <w:shd w:val="clear" w:color="auto" w:fill="auto"/>
          </w:tcPr>
          <w:p w:rsidR="0017345D" w:rsidRPr="008C65B3" w:rsidRDefault="0017345D" w:rsidP="000B690E">
            <w:pPr>
              <w:pStyle w:val="Default"/>
              <w:jc w:val="both"/>
              <w:rPr>
                <w:b w:val="0"/>
                <w:sz w:val="20"/>
                <w:szCs w:val="20"/>
              </w:rPr>
            </w:pPr>
            <w:r w:rsidRPr="008C65B3">
              <w:rPr>
                <w:b w:val="0"/>
                <w:sz w:val="20"/>
                <w:szCs w:val="20"/>
              </w:rPr>
              <w:t>No</w:t>
            </w:r>
          </w:p>
        </w:tc>
        <w:tc>
          <w:tcPr>
            <w:tcW w:w="1559" w:type="dxa"/>
            <w:tcBorders>
              <w:top w:val="single" w:sz="4" w:space="0" w:color="auto"/>
              <w:bottom w:val="single" w:sz="4" w:space="0" w:color="auto"/>
            </w:tcBorders>
            <w:shd w:val="clear" w:color="auto" w:fill="auto"/>
          </w:tcPr>
          <w:p w:rsidR="0017345D" w:rsidRPr="008C65B3" w:rsidRDefault="0017345D" w:rsidP="000B690E">
            <w:pPr>
              <w:pStyle w:val="Default"/>
              <w:jc w:val="both"/>
              <w:cnfStyle w:val="100000000000"/>
              <w:rPr>
                <w:b w:val="0"/>
                <w:sz w:val="20"/>
                <w:szCs w:val="20"/>
              </w:rPr>
            </w:pPr>
            <w:r w:rsidRPr="008C65B3">
              <w:rPr>
                <w:b w:val="0"/>
                <w:sz w:val="20"/>
                <w:szCs w:val="20"/>
              </w:rPr>
              <w:t>Karakteristik</w:t>
            </w:r>
          </w:p>
        </w:tc>
        <w:tc>
          <w:tcPr>
            <w:tcW w:w="3402" w:type="dxa"/>
            <w:tcBorders>
              <w:top w:val="single" w:sz="4" w:space="0" w:color="auto"/>
              <w:bottom w:val="single" w:sz="4" w:space="0" w:color="auto"/>
            </w:tcBorders>
            <w:shd w:val="clear" w:color="auto" w:fill="auto"/>
          </w:tcPr>
          <w:p w:rsidR="0017345D" w:rsidRPr="008C65B3" w:rsidRDefault="0017345D" w:rsidP="000B690E">
            <w:pPr>
              <w:pStyle w:val="Default"/>
              <w:ind w:right="505"/>
              <w:jc w:val="both"/>
              <w:cnfStyle w:val="100000000000"/>
              <w:rPr>
                <w:b w:val="0"/>
                <w:sz w:val="20"/>
                <w:szCs w:val="20"/>
              </w:rPr>
            </w:pPr>
            <w:r w:rsidRPr="008C65B3">
              <w:rPr>
                <w:b w:val="0"/>
                <w:sz w:val="20"/>
                <w:szCs w:val="20"/>
              </w:rPr>
              <w:t>Katagori</w:t>
            </w:r>
          </w:p>
        </w:tc>
        <w:tc>
          <w:tcPr>
            <w:tcW w:w="709" w:type="dxa"/>
            <w:tcBorders>
              <w:top w:val="single" w:sz="4" w:space="0" w:color="auto"/>
              <w:bottom w:val="single" w:sz="4" w:space="0" w:color="auto"/>
            </w:tcBorders>
            <w:shd w:val="clear" w:color="auto" w:fill="auto"/>
          </w:tcPr>
          <w:p w:rsidR="0017345D" w:rsidRPr="008C65B3" w:rsidRDefault="0017345D" w:rsidP="000B690E">
            <w:pPr>
              <w:pStyle w:val="Default"/>
              <w:jc w:val="both"/>
              <w:cnfStyle w:val="100000000000"/>
              <w:rPr>
                <w:b w:val="0"/>
                <w:sz w:val="20"/>
                <w:szCs w:val="20"/>
              </w:rPr>
            </w:pPr>
            <w:r w:rsidRPr="008C65B3">
              <w:rPr>
                <w:b w:val="0"/>
                <w:sz w:val="20"/>
                <w:szCs w:val="20"/>
              </w:rPr>
              <w:t>total</w:t>
            </w:r>
          </w:p>
        </w:tc>
        <w:tc>
          <w:tcPr>
            <w:tcW w:w="1276" w:type="dxa"/>
            <w:tcBorders>
              <w:top w:val="single" w:sz="4" w:space="0" w:color="auto"/>
              <w:bottom w:val="single" w:sz="4" w:space="0" w:color="auto"/>
            </w:tcBorders>
            <w:shd w:val="clear" w:color="auto" w:fill="auto"/>
          </w:tcPr>
          <w:p w:rsidR="0017345D" w:rsidRPr="008C65B3" w:rsidRDefault="0017345D" w:rsidP="000B690E">
            <w:pPr>
              <w:pStyle w:val="Default"/>
              <w:jc w:val="both"/>
              <w:cnfStyle w:val="100000000000"/>
              <w:rPr>
                <w:b w:val="0"/>
                <w:sz w:val="20"/>
                <w:szCs w:val="20"/>
              </w:rPr>
            </w:pPr>
            <w:r w:rsidRPr="008C65B3">
              <w:rPr>
                <w:b w:val="0"/>
                <w:sz w:val="20"/>
                <w:szCs w:val="20"/>
              </w:rPr>
              <w:t>presentase</w:t>
            </w:r>
          </w:p>
        </w:tc>
      </w:tr>
      <w:tr w:rsidR="0017345D" w:rsidRPr="008C65B3" w:rsidTr="008437AA">
        <w:trPr>
          <w:gridAfter w:val="1"/>
          <w:cnfStyle w:val="000000100000"/>
          <w:wAfter w:w="992" w:type="dxa"/>
        </w:trPr>
        <w:tc>
          <w:tcPr>
            <w:cnfStyle w:val="001000000000"/>
            <w:tcW w:w="534" w:type="dxa"/>
            <w:tcBorders>
              <w:top w:val="single" w:sz="4" w:space="0" w:color="auto"/>
            </w:tcBorders>
            <w:shd w:val="clear" w:color="auto" w:fill="auto"/>
          </w:tcPr>
          <w:p w:rsidR="0017345D" w:rsidRPr="008C65B3" w:rsidRDefault="0017345D" w:rsidP="000B690E">
            <w:pPr>
              <w:pStyle w:val="Default"/>
              <w:jc w:val="both"/>
              <w:rPr>
                <w:b w:val="0"/>
                <w:sz w:val="20"/>
                <w:szCs w:val="20"/>
              </w:rPr>
            </w:pPr>
            <w:r w:rsidRPr="008C65B3">
              <w:rPr>
                <w:b w:val="0"/>
                <w:sz w:val="20"/>
                <w:szCs w:val="20"/>
              </w:rPr>
              <w:t>1</w:t>
            </w:r>
          </w:p>
        </w:tc>
        <w:tc>
          <w:tcPr>
            <w:tcW w:w="1559" w:type="dxa"/>
            <w:tcBorders>
              <w:top w:val="single" w:sz="4" w:space="0" w:color="auto"/>
            </w:tcBorders>
            <w:shd w:val="clear" w:color="auto" w:fill="auto"/>
          </w:tcPr>
          <w:p w:rsidR="0017345D" w:rsidRPr="008C65B3" w:rsidRDefault="0017345D" w:rsidP="000B690E">
            <w:pPr>
              <w:pStyle w:val="Default"/>
              <w:jc w:val="both"/>
              <w:cnfStyle w:val="000000100000"/>
              <w:rPr>
                <w:sz w:val="20"/>
                <w:szCs w:val="20"/>
              </w:rPr>
            </w:pPr>
            <w:r w:rsidRPr="008C65B3">
              <w:rPr>
                <w:sz w:val="20"/>
                <w:szCs w:val="20"/>
              </w:rPr>
              <w:t>Jenis kelamin</w:t>
            </w:r>
          </w:p>
        </w:tc>
        <w:tc>
          <w:tcPr>
            <w:tcW w:w="3402" w:type="dxa"/>
            <w:tcBorders>
              <w:top w:val="single" w:sz="4" w:space="0" w:color="auto"/>
            </w:tcBorders>
            <w:shd w:val="clear" w:color="auto" w:fill="auto"/>
          </w:tcPr>
          <w:p w:rsidR="0017345D" w:rsidRPr="008C65B3" w:rsidRDefault="0017345D" w:rsidP="000B690E">
            <w:pPr>
              <w:pStyle w:val="Default"/>
              <w:jc w:val="both"/>
              <w:cnfStyle w:val="000000100000"/>
              <w:rPr>
                <w:sz w:val="20"/>
                <w:szCs w:val="20"/>
              </w:rPr>
            </w:pPr>
            <w:r w:rsidRPr="008C65B3">
              <w:rPr>
                <w:sz w:val="20"/>
                <w:szCs w:val="20"/>
              </w:rPr>
              <w:t>Laki-laki</w:t>
            </w:r>
          </w:p>
        </w:tc>
        <w:tc>
          <w:tcPr>
            <w:tcW w:w="709" w:type="dxa"/>
            <w:tcBorders>
              <w:top w:val="single" w:sz="4" w:space="0" w:color="auto"/>
            </w:tcBorders>
            <w:shd w:val="clear" w:color="auto" w:fill="auto"/>
          </w:tcPr>
          <w:p w:rsidR="0017345D" w:rsidRPr="008C65B3" w:rsidRDefault="0017345D" w:rsidP="000B690E">
            <w:pPr>
              <w:pStyle w:val="Default"/>
              <w:jc w:val="both"/>
              <w:cnfStyle w:val="000000100000"/>
              <w:rPr>
                <w:sz w:val="20"/>
                <w:szCs w:val="20"/>
              </w:rPr>
            </w:pPr>
            <w:r w:rsidRPr="008C65B3">
              <w:rPr>
                <w:sz w:val="20"/>
                <w:szCs w:val="20"/>
              </w:rPr>
              <w:t>4</w:t>
            </w:r>
          </w:p>
        </w:tc>
        <w:tc>
          <w:tcPr>
            <w:tcW w:w="1276" w:type="dxa"/>
            <w:tcBorders>
              <w:top w:val="single" w:sz="4" w:space="0" w:color="auto"/>
            </w:tcBorders>
            <w:shd w:val="clear" w:color="auto" w:fill="auto"/>
          </w:tcPr>
          <w:p w:rsidR="0017345D" w:rsidRPr="008C65B3" w:rsidRDefault="0017345D" w:rsidP="000B690E">
            <w:pPr>
              <w:pStyle w:val="Default"/>
              <w:jc w:val="both"/>
              <w:cnfStyle w:val="000000100000"/>
              <w:rPr>
                <w:sz w:val="20"/>
                <w:szCs w:val="20"/>
              </w:rPr>
            </w:pPr>
            <w:r w:rsidRPr="008C65B3">
              <w:rPr>
                <w:sz w:val="20"/>
                <w:szCs w:val="20"/>
              </w:rPr>
              <w:t>13.3%</w:t>
            </w:r>
          </w:p>
        </w:tc>
      </w:tr>
      <w:tr w:rsidR="001351DE" w:rsidRPr="008C65B3" w:rsidTr="008437AA">
        <w:tc>
          <w:tcPr>
            <w:cnfStyle w:val="001000000000"/>
            <w:tcW w:w="534" w:type="dxa"/>
            <w:shd w:val="clear" w:color="auto" w:fill="auto"/>
          </w:tcPr>
          <w:p w:rsidR="001351DE" w:rsidRPr="008C65B3" w:rsidRDefault="001351DE" w:rsidP="000B690E">
            <w:pPr>
              <w:pStyle w:val="Default"/>
              <w:jc w:val="both"/>
              <w:rPr>
                <w:b w:val="0"/>
                <w:sz w:val="20"/>
                <w:szCs w:val="20"/>
              </w:rPr>
            </w:pPr>
          </w:p>
        </w:tc>
        <w:tc>
          <w:tcPr>
            <w:tcW w:w="1559" w:type="dxa"/>
            <w:shd w:val="clear" w:color="auto" w:fill="auto"/>
          </w:tcPr>
          <w:p w:rsidR="001351DE" w:rsidRPr="008C65B3" w:rsidRDefault="001351DE" w:rsidP="000B690E">
            <w:pPr>
              <w:pStyle w:val="Default"/>
              <w:jc w:val="both"/>
              <w:cnfStyle w:val="000000000000"/>
              <w:rPr>
                <w:b/>
                <w:sz w:val="20"/>
                <w:szCs w:val="20"/>
              </w:rPr>
            </w:pPr>
          </w:p>
        </w:tc>
        <w:tc>
          <w:tcPr>
            <w:tcW w:w="3402" w:type="dxa"/>
            <w:shd w:val="clear" w:color="auto" w:fill="auto"/>
          </w:tcPr>
          <w:p w:rsidR="001351DE" w:rsidRPr="008C65B3" w:rsidRDefault="001351DE" w:rsidP="000B690E">
            <w:pPr>
              <w:pStyle w:val="Default"/>
              <w:jc w:val="both"/>
              <w:cnfStyle w:val="000000000000"/>
              <w:rPr>
                <w:sz w:val="20"/>
                <w:szCs w:val="20"/>
              </w:rPr>
            </w:pPr>
            <w:r w:rsidRPr="008C65B3">
              <w:rPr>
                <w:sz w:val="20"/>
                <w:szCs w:val="20"/>
              </w:rPr>
              <w:t>Perempuan</w:t>
            </w:r>
          </w:p>
          <w:p w:rsidR="00B22CDB" w:rsidRPr="008C65B3" w:rsidRDefault="00B22CDB" w:rsidP="000B690E">
            <w:pPr>
              <w:pStyle w:val="Default"/>
              <w:jc w:val="both"/>
              <w:cnfStyle w:val="000000000000"/>
              <w:rPr>
                <w:sz w:val="20"/>
                <w:szCs w:val="20"/>
              </w:rPr>
            </w:pPr>
          </w:p>
        </w:tc>
        <w:tc>
          <w:tcPr>
            <w:tcW w:w="709" w:type="dxa"/>
            <w:shd w:val="clear" w:color="auto" w:fill="auto"/>
          </w:tcPr>
          <w:p w:rsidR="001351DE" w:rsidRPr="008C65B3" w:rsidRDefault="000D37F4" w:rsidP="000B690E">
            <w:pPr>
              <w:pStyle w:val="Default"/>
              <w:jc w:val="both"/>
              <w:cnfStyle w:val="000000000000"/>
              <w:rPr>
                <w:sz w:val="20"/>
                <w:szCs w:val="20"/>
              </w:rPr>
            </w:pPr>
            <w:r w:rsidRPr="008C65B3">
              <w:rPr>
                <w:sz w:val="20"/>
                <w:szCs w:val="20"/>
              </w:rPr>
              <w:t>18</w:t>
            </w:r>
          </w:p>
        </w:tc>
        <w:tc>
          <w:tcPr>
            <w:tcW w:w="1276" w:type="dxa"/>
            <w:shd w:val="clear" w:color="auto" w:fill="auto"/>
          </w:tcPr>
          <w:p w:rsidR="001351DE" w:rsidRPr="008C65B3" w:rsidRDefault="004D3BC1" w:rsidP="000B690E">
            <w:pPr>
              <w:pStyle w:val="Default"/>
              <w:jc w:val="both"/>
              <w:cnfStyle w:val="000000000000"/>
              <w:rPr>
                <w:sz w:val="20"/>
                <w:szCs w:val="20"/>
              </w:rPr>
            </w:pPr>
            <w:r w:rsidRPr="008C65B3">
              <w:rPr>
                <w:sz w:val="20"/>
                <w:szCs w:val="20"/>
              </w:rPr>
              <w:t>60.0%</w:t>
            </w:r>
          </w:p>
          <w:p w:rsidR="004D3BC1" w:rsidRPr="008C65B3" w:rsidRDefault="004D3BC1" w:rsidP="000B690E">
            <w:pPr>
              <w:pStyle w:val="Default"/>
              <w:jc w:val="both"/>
              <w:cnfStyle w:val="000000000000"/>
              <w:rPr>
                <w:sz w:val="20"/>
                <w:szCs w:val="20"/>
              </w:rPr>
            </w:pPr>
          </w:p>
        </w:tc>
        <w:tc>
          <w:tcPr>
            <w:tcW w:w="992" w:type="dxa"/>
            <w:shd w:val="clear" w:color="auto" w:fill="auto"/>
          </w:tcPr>
          <w:p w:rsidR="001351DE" w:rsidRPr="008C65B3" w:rsidRDefault="001351DE" w:rsidP="000B690E">
            <w:pPr>
              <w:pStyle w:val="Default"/>
              <w:jc w:val="both"/>
              <w:cnfStyle w:val="000000000000"/>
              <w:rPr>
                <w:b/>
                <w:sz w:val="20"/>
                <w:szCs w:val="20"/>
              </w:rPr>
            </w:pPr>
          </w:p>
        </w:tc>
      </w:tr>
      <w:tr w:rsidR="001351DE" w:rsidRPr="008C65B3" w:rsidTr="008437AA">
        <w:trPr>
          <w:cnfStyle w:val="000000100000"/>
        </w:trPr>
        <w:tc>
          <w:tcPr>
            <w:cnfStyle w:val="001000000000"/>
            <w:tcW w:w="534" w:type="dxa"/>
            <w:shd w:val="clear" w:color="auto" w:fill="auto"/>
          </w:tcPr>
          <w:p w:rsidR="001351DE" w:rsidRPr="008C65B3" w:rsidRDefault="001351DE" w:rsidP="000B690E">
            <w:pPr>
              <w:pStyle w:val="Default"/>
              <w:jc w:val="both"/>
              <w:rPr>
                <w:b w:val="0"/>
                <w:sz w:val="20"/>
                <w:szCs w:val="20"/>
              </w:rPr>
            </w:pPr>
            <w:r w:rsidRPr="008C65B3">
              <w:rPr>
                <w:b w:val="0"/>
                <w:sz w:val="20"/>
                <w:szCs w:val="20"/>
              </w:rPr>
              <w:t>2.</w:t>
            </w:r>
          </w:p>
          <w:p w:rsidR="00B22CDB" w:rsidRPr="008C65B3" w:rsidRDefault="00B22CDB" w:rsidP="000B690E">
            <w:pPr>
              <w:pStyle w:val="Default"/>
              <w:jc w:val="both"/>
              <w:rPr>
                <w:b w:val="0"/>
                <w:sz w:val="20"/>
                <w:szCs w:val="20"/>
              </w:rPr>
            </w:pPr>
          </w:p>
          <w:p w:rsidR="001351DE" w:rsidRPr="008C65B3" w:rsidRDefault="001351DE" w:rsidP="000B690E">
            <w:pPr>
              <w:pStyle w:val="Default"/>
              <w:jc w:val="both"/>
              <w:rPr>
                <w:b w:val="0"/>
                <w:sz w:val="20"/>
                <w:szCs w:val="20"/>
              </w:rPr>
            </w:pPr>
          </w:p>
          <w:p w:rsidR="001351DE" w:rsidRPr="008C65B3" w:rsidRDefault="001351DE" w:rsidP="000B690E">
            <w:pPr>
              <w:pStyle w:val="Default"/>
              <w:jc w:val="both"/>
              <w:rPr>
                <w:b w:val="0"/>
                <w:sz w:val="20"/>
                <w:szCs w:val="20"/>
              </w:rPr>
            </w:pPr>
          </w:p>
          <w:p w:rsidR="001351DE" w:rsidRPr="008C65B3" w:rsidRDefault="001351DE" w:rsidP="000B690E">
            <w:pPr>
              <w:pStyle w:val="Default"/>
              <w:jc w:val="both"/>
              <w:rPr>
                <w:b w:val="0"/>
                <w:sz w:val="20"/>
                <w:szCs w:val="20"/>
              </w:rPr>
            </w:pPr>
            <w:r w:rsidRPr="008C65B3">
              <w:rPr>
                <w:b w:val="0"/>
                <w:sz w:val="20"/>
                <w:szCs w:val="20"/>
              </w:rPr>
              <w:t>3.</w:t>
            </w:r>
          </w:p>
          <w:p w:rsidR="00B22CDB" w:rsidRPr="008C65B3" w:rsidRDefault="00B22CDB" w:rsidP="000B690E">
            <w:pPr>
              <w:pStyle w:val="Default"/>
              <w:jc w:val="both"/>
              <w:rPr>
                <w:b w:val="0"/>
                <w:sz w:val="20"/>
                <w:szCs w:val="20"/>
              </w:rPr>
            </w:pPr>
          </w:p>
          <w:p w:rsidR="001351DE" w:rsidRPr="008C65B3" w:rsidRDefault="001351DE" w:rsidP="000B690E">
            <w:pPr>
              <w:pStyle w:val="Default"/>
              <w:jc w:val="both"/>
              <w:rPr>
                <w:b w:val="0"/>
                <w:sz w:val="20"/>
                <w:szCs w:val="20"/>
              </w:rPr>
            </w:pPr>
          </w:p>
          <w:p w:rsidR="001351DE" w:rsidRPr="008C65B3" w:rsidRDefault="001351DE" w:rsidP="000B690E">
            <w:pPr>
              <w:pStyle w:val="Default"/>
              <w:jc w:val="both"/>
              <w:rPr>
                <w:b w:val="0"/>
                <w:sz w:val="20"/>
                <w:szCs w:val="20"/>
              </w:rPr>
            </w:pPr>
            <w:r w:rsidRPr="008C65B3">
              <w:rPr>
                <w:b w:val="0"/>
                <w:sz w:val="20"/>
                <w:szCs w:val="20"/>
              </w:rPr>
              <w:t>4.</w:t>
            </w:r>
          </w:p>
          <w:p w:rsidR="00B22CDB" w:rsidRPr="008C65B3" w:rsidRDefault="00B22CDB" w:rsidP="000B690E">
            <w:pPr>
              <w:pStyle w:val="Default"/>
              <w:jc w:val="both"/>
              <w:rPr>
                <w:b w:val="0"/>
                <w:sz w:val="20"/>
                <w:szCs w:val="20"/>
              </w:rPr>
            </w:pPr>
          </w:p>
          <w:p w:rsidR="001351DE" w:rsidRPr="008C65B3" w:rsidRDefault="001351DE" w:rsidP="000B690E">
            <w:pPr>
              <w:pStyle w:val="Default"/>
              <w:jc w:val="both"/>
              <w:rPr>
                <w:b w:val="0"/>
                <w:sz w:val="20"/>
                <w:szCs w:val="20"/>
              </w:rPr>
            </w:pPr>
          </w:p>
          <w:p w:rsidR="001351DE" w:rsidRPr="008C65B3" w:rsidRDefault="001351DE" w:rsidP="000B690E">
            <w:pPr>
              <w:pStyle w:val="Default"/>
              <w:jc w:val="both"/>
              <w:rPr>
                <w:b w:val="0"/>
                <w:sz w:val="20"/>
                <w:szCs w:val="20"/>
              </w:rPr>
            </w:pPr>
            <w:r w:rsidRPr="008C65B3">
              <w:rPr>
                <w:b w:val="0"/>
                <w:sz w:val="20"/>
                <w:szCs w:val="20"/>
              </w:rPr>
              <w:t>5.</w:t>
            </w:r>
          </w:p>
          <w:p w:rsidR="00B22CDB" w:rsidRPr="008C65B3" w:rsidRDefault="00B22CDB" w:rsidP="000B690E">
            <w:pPr>
              <w:pStyle w:val="Default"/>
              <w:jc w:val="both"/>
              <w:rPr>
                <w:b w:val="0"/>
                <w:sz w:val="20"/>
                <w:szCs w:val="20"/>
              </w:rPr>
            </w:pPr>
          </w:p>
          <w:p w:rsidR="001351DE" w:rsidRPr="008C65B3" w:rsidRDefault="001351DE" w:rsidP="000B690E">
            <w:pPr>
              <w:pStyle w:val="Default"/>
              <w:jc w:val="both"/>
              <w:rPr>
                <w:b w:val="0"/>
                <w:sz w:val="20"/>
                <w:szCs w:val="20"/>
              </w:rPr>
            </w:pPr>
          </w:p>
          <w:p w:rsidR="001351DE" w:rsidRPr="008C65B3" w:rsidRDefault="001351DE" w:rsidP="000B690E">
            <w:pPr>
              <w:pStyle w:val="Default"/>
              <w:jc w:val="both"/>
              <w:rPr>
                <w:b w:val="0"/>
                <w:sz w:val="20"/>
                <w:szCs w:val="20"/>
              </w:rPr>
            </w:pPr>
            <w:r w:rsidRPr="008C65B3">
              <w:rPr>
                <w:b w:val="0"/>
                <w:sz w:val="20"/>
                <w:szCs w:val="20"/>
              </w:rPr>
              <w:t xml:space="preserve">6.    </w:t>
            </w:r>
          </w:p>
        </w:tc>
        <w:tc>
          <w:tcPr>
            <w:tcW w:w="1559" w:type="dxa"/>
            <w:shd w:val="clear" w:color="auto" w:fill="auto"/>
          </w:tcPr>
          <w:p w:rsidR="001351DE" w:rsidRPr="008C65B3" w:rsidRDefault="001351DE" w:rsidP="000B690E">
            <w:pPr>
              <w:pStyle w:val="Default"/>
              <w:jc w:val="both"/>
              <w:cnfStyle w:val="000000100000"/>
              <w:rPr>
                <w:sz w:val="20"/>
                <w:szCs w:val="20"/>
              </w:rPr>
            </w:pPr>
            <w:r w:rsidRPr="008C65B3">
              <w:rPr>
                <w:sz w:val="20"/>
                <w:szCs w:val="20"/>
              </w:rPr>
              <w:t>Usia</w:t>
            </w:r>
          </w:p>
          <w:p w:rsidR="00B22CDB" w:rsidRPr="008C65B3" w:rsidRDefault="00B22CDB"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r w:rsidRPr="008C65B3">
              <w:rPr>
                <w:sz w:val="20"/>
                <w:szCs w:val="20"/>
              </w:rPr>
              <w:t>Hipertensi</w:t>
            </w:r>
          </w:p>
          <w:p w:rsidR="00B22CDB" w:rsidRPr="008C65B3" w:rsidRDefault="00B22CDB"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r w:rsidRPr="008C65B3">
              <w:rPr>
                <w:sz w:val="20"/>
                <w:szCs w:val="20"/>
              </w:rPr>
              <w:t>Obesitas</w:t>
            </w:r>
          </w:p>
          <w:p w:rsidR="00B22CDB" w:rsidRPr="008C65B3" w:rsidRDefault="00B22CDB"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r w:rsidRPr="008C65B3">
              <w:rPr>
                <w:sz w:val="20"/>
                <w:szCs w:val="20"/>
              </w:rPr>
              <w:t>Aktifitas</w:t>
            </w:r>
          </w:p>
          <w:p w:rsidR="00B22CDB" w:rsidRPr="008C65B3" w:rsidRDefault="00B22CDB"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r w:rsidRPr="008C65B3">
              <w:rPr>
                <w:sz w:val="20"/>
                <w:szCs w:val="20"/>
              </w:rPr>
              <w:t>Merokok</w:t>
            </w:r>
          </w:p>
        </w:tc>
        <w:tc>
          <w:tcPr>
            <w:tcW w:w="3402" w:type="dxa"/>
            <w:shd w:val="clear" w:color="auto" w:fill="auto"/>
          </w:tcPr>
          <w:p w:rsidR="001351DE" w:rsidRPr="008C65B3" w:rsidRDefault="001351DE" w:rsidP="000B690E">
            <w:pPr>
              <w:pStyle w:val="Default"/>
              <w:jc w:val="both"/>
              <w:cnfStyle w:val="000000100000"/>
              <w:rPr>
                <w:sz w:val="20"/>
                <w:szCs w:val="20"/>
              </w:rPr>
            </w:pPr>
            <w:r w:rsidRPr="008C65B3">
              <w:rPr>
                <w:sz w:val="20"/>
                <w:szCs w:val="20"/>
              </w:rPr>
              <w:t>40 -54 tahun</w:t>
            </w:r>
          </w:p>
          <w:p w:rsidR="001351DE" w:rsidRPr="008C65B3" w:rsidRDefault="001351DE" w:rsidP="000B690E">
            <w:pPr>
              <w:pStyle w:val="Default"/>
              <w:jc w:val="both"/>
              <w:cnfStyle w:val="000000100000"/>
              <w:rPr>
                <w:sz w:val="20"/>
                <w:szCs w:val="20"/>
              </w:rPr>
            </w:pPr>
            <w:r w:rsidRPr="008C65B3">
              <w:rPr>
                <w:sz w:val="20"/>
                <w:szCs w:val="20"/>
              </w:rPr>
              <w:t>55-64 tahun</w:t>
            </w:r>
          </w:p>
          <w:p w:rsidR="001351DE" w:rsidRPr="008C65B3" w:rsidRDefault="001351DE" w:rsidP="000B690E">
            <w:pPr>
              <w:pStyle w:val="Default"/>
              <w:jc w:val="both"/>
              <w:cnfStyle w:val="000000100000"/>
              <w:rPr>
                <w:sz w:val="20"/>
                <w:szCs w:val="20"/>
              </w:rPr>
            </w:pPr>
            <w:r w:rsidRPr="008C65B3">
              <w:rPr>
                <w:sz w:val="20"/>
                <w:szCs w:val="20"/>
              </w:rPr>
              <w:t>≥ 65 tahun</w:t>
            </w:r>
          </w:p>
          <w:p w:rsidR="00B22CDB" w:rsidRPr="008C65B3" w:rsidRDefault="00B22CDB"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r w:rsidRPr="008C65B3">
              <w:rPr>
                <w:sz w:val="20"/>
                <w:szCs w:val="20"/>
              </w:rPr>
              <w:t>Ya</w:t>
            </w:r>
          </w:p>
          <w:p w:rsidR="001351DE" w:rsidRPr="008C65B3" w:rsidRDefault="001351DE" w:rsidP="000B690E">
            <w:pPr>
              <w:pStyle w:val="Default"/>
              <w:jc w:val="both"/>
              <w:cnfStyle w:val="000000100000"/>
              <w:rPr>
                <w:sz w:val="20"/>
                <w:szCs w:val="20"/>
              </w:rPr>
            </w:pPr>
            <w:r w:rsidRPr="008C65B3">
              <w:rPr>
                <w:sz w:val="20"/>
                <w:szCs w:val="20"/>
              </w:rPr>
              <w:t>Tidak</w:t>
            </w:r>
          </w:p>
          <w:p w:rsidR="00B22CDB" w:rsidRPr="008C65B3" w:rsidRDefault="00B22CDB"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r w:rsidRPr="008C65B3">
              <w:rPr>
                <w:sz w:val="20"/>
                <w:szCs w:val="20"/>
              </w:rPr>
              <w:t>Ya</w:t>
            </w:r>
          </w:p>
          <w:p w:rsidR="001351DE" w:rsidRPr="008C65B3" w:rsidRDefault="001351DE" w:rsidP="000B690E">
            <w:pPr>
              <w:pStyle w:val="Default"/>
              <w:jc w:val="both"/>
              <w:cnfStyle w:val="000000100000"/>
              <w:rPr>
                <w:sz w:val="20"/>
                <w:szCs w:val="20"/>
              </w:rPr>
            </w:pPr>
            <w:r w:rsidRPr="008C65B3">
              <w:rPr>
                <w:sz w:val="20"/>
                <w:szCs w:val="20"/>
              </w:rPr>
              <w:t>Tidak</w:t>
            </w:r>
          </w:p>
          <w:p w:rsidR="00B22CDB" w:rsidRPr="008C65B3" w:rsidRDefault="00B22CDB"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r w:rsidRPr="008C65B3">
              <w:rPr>
                <w:sz w:val="20"/>
                <w:szCs w:val="20"/>
              </w:rPr>
              <w:t>Ya</w:t>
            </w:r>
          </w:p>
          <w:p w:rsidR="00B22CDB" w:rsidRPr="008C65B3" w:rsidRDefault="001351DE" w:rsidP="000B690E">
            <w:pPr>
              <w:pStyle w:val="Default"/>
              <w:jc w:val="both"/>
              <w:cnfStyle w:val="000000100000"/>
              <w:rPr>
                <w:sz w:val="20"/>
                <w:szCs w:val="20"/>
              </w:rPr>
            </w:pPr>
            <w:r w:rsidRPr="008C65B3">
              <w:rPr>
                <w:sz w:val="20"/>
                <w:szCs w:val="20"/>
              </w:rPr>
              <w:t>Tidak</w:t>
            </w:r>
          </w:p>
          <w:p w:rsidR="000D37F4" w:rsidRPr="008C65B3" w:rsidRDefault="000D37F4" w:rsidP="000B690E">
            <w:pPr>
              <w:pStyle w:val="Default"/>
              <w:jc w:val="both"/>
              <w:cnfStyle w:val="000000100000"/>
              <w:rPr>
                <w:sz w:val="20"/>
                <w:szCs w:val="20"/>
              </w:rPr>
            </w:pPr>
          </w:p>
          <w:p w:rsidR="001351DE" w:rsidRPr="008C65B3" w:rsidRDefault="001351DE" w:rsidP="000B690E">
            <w:pPr>
              <w:pStyle w:val="Default"/>
              <w:jc w:val="both"/>
              <w:cnfStyle w:val="000000100000"/>
              <w:rPr>
                <w:sz w:val="20"/>
                <w:szCs w:val="20"/>
              </w:rPr>
            </w:pPr>
            <w:r w:rsidRPr="008C65B3">
              <w:rPr>
                <w:sz w:val="20"/>
                <w:szCs w:val="20"/>
              </w:rPr>
              <w:t>Ya</w:t>
            </w:r>
          </w:p>
          <w:p w:rsidR="001351DE" w:rsidRPr="008C65B3" w:rsidRDefault="001351DE" w:rsidP="000B690E">
            <w:pPr>
              <w:pStyle w:val="Default"/>
              <w:jc w:val="both"/>
              <w:cnfStyle w:val="000000100000"/>
              <w:rPr>
                <w:sz w:val="20"/>
                <w:szCs w:val="20"/>
              </w:rPr>
            </w:pPr>
            <w:r w:rsidRPr="008C65B3">
              <w:rPr>
                <w:sz w:val="20"/>
                <w:szCs w:val="20"/>
              </w:rPr>
              <w:t>Tidak</w:t>
            </w:r>
          </w:p>
        </w:tc>
        <w:tc>
          <w:tcPr>
            <w:tcW w:w="709" w:type="dxa"/>
            <w:shd w:val="clear" w:color="auto" w:fill="auto"/>
          </w:tcPr>
          <w:p w:rsidR="001351DE" w:rsidRPr="008C65B3" w:rsidRDefault="00DC0937" w:rsidP="000B690E">
            <w:pPr>
              <w:pStyle w:val="Default"/>
              <w:jc w:val="both"/>
              <w:cnfStyle w:val="000000100000"/>
              <w:rPr>
                <w:sz w:val="20"/>
                <w:szCs w:val="20"/>
              </w:rPr>
            </w:pPr>
            <w:r w:rsidRPr="008C65B3">
              <w:rPr>
                <w:sz w:val="20"/>
                <w:szCs w:val="20"/>
              </w:rPr>
              <w:t>16</w:t>
            </w:r>
          </w:p>
          <w:p w:rsidR="0017345D" w:rsidRPr="008C65B3" w:rsidRDefault="00DC0937" w:rsidP="000B690E">
            <w:pPr>
              <w:pStyle w:val="Default"/>
              <w:jc w:val="both"/>
              <w:cnfStyle w:val="000000100000"/>
              <w:rPr>
                <w:sz w:val="20"/>
                <w:szCs w:val="20"/>
              </w:rPr>
            </w:pPr>
            <w:r w:rsidRPr="008C65B3">
              <w:rPr>
                <w:sz w:val="20"/>
                <w:szCs w:val="20"/>
              </w:rPr>
              <w:t>2</w:t>
            </w:r>
          </w:p>
          <w:p w:rsidR="0017345D" w:rsidRPr="008C65B3" w:rsidRDefault="0017345D" w:rsidP="000B690E">
            <w:pPr>
              <w:pStyle w:val="Default"/>
              <w:jc w:val="both"/>
              <w:cnfStyle w:val="000000100000"/>
              <w:rPr>
                <w:sz w:val="20"/>
                <w:szCs w:val="20"/>
              </w:rPr>
            </w:pPr>
            <w:r w:rsidRPr="008C65B3">
              <w:rPr>
                <w:sz w:val="20"/>
                <w:szCs w:val="20"/>
              </w:rPr>
              <w:t>4</w:t>
            </w:r>
          </w:p>
          <w:p w:rsidR="000D37F4" w:rsidRPr="008C65B3" w:rsidRDefault="000D37F4" w:rsidP="000B690E">
            <w:pPr>
              <w:pStyle w:val="Default"/>
              <w:jc w:val="both"/>
              <w:cnfStyle w:val="000000100000"/>
              <w:rPr>
                <w:sz w:val="20"/>
                <w:szCs w:val="20"/>
              </w:rPr>
            </w:pPr>
          </w:p>
          <w:p w:rsidR="000D37F4" w:rsidRPr="008C65B3" w:rsidRDefault="000D37F4" w:rsidP="000B690E">
            <w:pPr>
              <w:pStyle w:val="Default"/>
              <w:jc w:val="both"/>
              <w:cnfStyle w:val="000000100000"/>
              <w:rPr>
                <w:sz w:val="20"/>
                <w:szCs w:val="20"/>
              </w:rPr>
            </w:pPr>
            <w:r w:rsidRPr="008C65B3">
              <w:rPr>
                <w:sz w:val="20"/>
                <w:szCs w:val="20"/>
              </w:rPr>
              <w:t>16</w:t>
            </w:r>
          </w:p>
          <w:p w:rsidR="000D37F4" w:rsidRPr="008C65B3" w:rsidRDefault="000D37F4" w:rsidP="000B690E">
            <w:pPr>
              <w:pStyle w:val="Default"/>
              <w:jc w:val="both"/>
              <w:cnfStyle w:val="000000100000"/>
              <w:rPr>
                <w:sz w:val="20"/>
                <w:szCs w:val="20"/>
              </w:rPr>
            </w:pPr>
            <w:r w:rsidRPr="008C65B3">
              <w:rPr>
                <w:sz w:val="20"/>
                <w:szCs w:val="20"/>
              </w:rPr>
              <w:t>6</w:t>
            </w:r>
          </w:p>
          <w:p w:rsidR="000D37F4" w:rsidRPr="008C65B3" w:rsidRDefault="000D37F4" w:rsidP="000B690E">
            <w:pPr>
              <w:pStyle w:val="Default"/>
              <w:jc w:val="both"/>
              <w:cnfStyle w:val="000000100000"/>
              <w:rPr>
                <w:sz w:val="20"/>
                <w:szCs w:val="20"/>
              </w:rPr>
            </w:pPr>
          </w:p>
          <w:p w:rsidR="000D37F4" w:rsidRPr="008C65B3" w:rsidRDefault="000D37F4" w:rsidP="000B690E">
            <w:pPr>
              <w:pStyle w:val="Default"/>
              <w:jc w:val="both"/>
              <w:cnfStyle w:val="000000100000"/>
              <w:rPr>
                <w:sz w:val="20"/>
                <w:szCs w:val="20"/>
              </w:rPr>
            </w:pPr>
            <w:r w:rsidRPr="008C65B3">
              <w:rPr>
                <w:sz w:val="20"/>
                <w:szCs w:val="20"/>
              </w:rPr>
              <w:t>3</w:t>
            </w:r>
          </w:p>
          <w:p w:rsidR="000D37F4" w:rsidRPr="008C65B3" w:rsidRDefault="000D37F4" w:rsidP="000B690E">
            <w:pPr>
              <w:pStyle w:val="Default"/>
              <w:jc w:val="both"/>
              <w:cnfStyle w:val="000000100000"/>
              <w:rPr>
                <w:sz w:val="20"/>
                <w:szCs w:val="20"/>
              </w:rPr>
            </w:pPr>
            <w:r w:rsidRPr="008C65B3">
              <w:rPr>
                <w:sz w:val="20"/>
                <w:szCs w:val="20"/>
              </w:rPr>
              <w:t>19</w:t>
            </w:r>
          </w:p>
          <w:p w:rsidR="000D37F4" w:rsidRPr="008C65B3" w:rsidRDefault="000D37F4" w:rsidP="000B690E">
            <w:pPr>
              <w:pStyle w:val="Default"/>
              <w:jc w:val="both"/>
              <w:cnfStyle w:val="000000100000"/>
              <w:rPr>
                <w:sz w:val="20"/>
                <w:szCs w:val="20"/>
              </w:rPr>
            </w:pPr>
          </w:p>
          <w:p w:rsidR="000D37F4" w:rsidRPr="008C65B3" w:rsidRDefault="000D37F4" w:rsidP="000B690E">
            <w:pPr>
              <w:pStyle w:val="Default"/>
              <w:jc w:val="both"/>
              <w:cnfStyle w:val="000000100000"/>
              <w:rPr>
                <w:sz w:val="20"/>
                <w:szCs w:val="20"/>
              </w:rPr>
            </w:pPr>
            <w:r w:rsidRPr="008C65B3">
              <w:rPr>
                <w:sz w:val="20"/>
                <w:szCs w:val="20"/>
              </w:rPr>
              <w:t>16</w:t>
            </w:r>
          </w:p>
          <w:p w:rsidR="000D37F4" w:rsidRPr="008C65B3" w:rsidRDefault="000D37F4" w:rsidP="000B690E">
            <w:pPr>
              <w:pStyle w:val="Default"/>
              <w:jc w:val="both"/>
              <w:cnfStyle w:val="000000100000"/>
              <w:rPr>
                <w:sz w:val="20"/>
                <w:szCs w:val="20"/>
              </w:rPr>
            </w:pPr>
            <w:r w:rsidRPr="008C65B3">
              <w:rPr>
                <w:sz w:val="20"/>
                <w:szCs w:val="20"/>
              </w:rPr>
              <w:t>6</w:t>
            </w:r>
          </w:p>
          <w:p w:rsidR="000D37F4" w:rsidRPr="008C65B3" w:rsidRDefault="000D37F4" w:rsidP="000B690E">
            <w:pPr>
              <w:pStyle w:val="Default"/>
              <w:jc w:val="both"/>
              <w:cnfStyle w:val="000000100000"/>
              <w:rPr>
                <w:sz w:val="20"/>
                <w:szCs w:val="20"/>
              </w:rPr>
            </w:pPr>
          </w:p>
          <w:p w:rsidR="000D37F4" w:rsidRPr="008C65B3" w:rsidRDefault="000D37F4" w:rsidP="000B690E">
            <w:pPr>
              <w:pStyle w:val="Default"/>
              <w:jc w:val="both"/>
              <w:cnfStyle w:val="000000100000"/>
              <w:rPr>
                <w:sz w:val="20"/>
                <w:szCs w:val="20"/>
              </w:rPr>
            </w:pPr>
            <w:r w:rsidRPr="008C65B3">
              <w:rPr>
                <w:sz w:val="20"/>
                <w:szCs w:val="20"/>
              </w:rPr>
              <w:t>1</w:t>
            </w:r>
          </w:p>
          <w:p w:rsidR="000D37F4" w:rsidRPr="008C65B3" w:rsidRDefault="000D37F4" w:rsidP="000B690E">
            <w:pPr>
              <w:pStyle w:val="Default"/>
              <w:jc w:val="both"/>
              <w:cnfStyle w:val="000000100000"/>
              <w:rPr>
                <w:sz w:val="20"/>
                <w:szCs w:val="20"/>
              </w:rPr>
            </w:pPr>
            <w:r w:rsidRPr="008C65B3">
              <w:rPr>
                <w:sz w:val="20"/>
                <w:szCs w:val="20"/>
              </w:rPr>
              <w:t>21</w:t>
            </w:r>
          </w:p>
          <w:p w:rsidR="000D37F4" w:rsidRPr="008C65B3" w:rsidRDefault="000D37F4" w:rsidP="000B690E">
            <w:pPr>
              <w:pStyle w:val="Default"/>
              <w:jc w:val="both"/>
              <w:cnfStyle w:val="000000100000"/>
              <w:rPr>
                <w:sz w:val="20"/>
                <w:szCs w:val="20"/>
              </w:rPr>
            </w:pPr>
          </w:p>
        </w:tc>
        <w:tc>
          <w:tcPr>
            <w:tcW w:w="1276" w:type="dxa"/>
            <w:shd w:val="clear" w:color="auto" w:fill="auto"/>
          </w:tcPr>
          <w:p w:rsidR="004D3BC1" w:rsidRPr="008C65B3" w:rsidRDefault="00DC0937" w:rsidP="000B690E">
            <w:pPr>
              <w:pStyle w:val="Default"/>
              <w:jc w:val="both"/>
              <w:cnfStyle w:val="000000100000"/>
              <w:rPr>
                <w:sz w:val="20"/>
                <w:szCs w:val="20"/>
              </w:rPr>
            </w:pPr>
            <w:r w:rsidRPr="008C65B3">
              <w:rPr>
                <w:sz w:val="20"/>
                <w:szCs w:val="20"/>
              </w:rPr>
              <w:t>53,3</w:t>
            </w:r>
            <w:r w:rsidR="0017345D" w:rsidRPr="008C65B3">
              <w:rPr>
                <w:sz w:val="20"/>
                <w:szCs w:val="20"/>
              </w:rPr>
              <w:t>%</w:t>
            </w:r>
          </w:p>
          <w:p w:rsidR="004D3BC1" w:rsidRPr="008C65B3" w:rsidRDefault="00DC0937" w:rsidP="000B690E">
            <w:pPr>
              <w:pStyle w:val="Default"/>
              <w:jc w:val="both"/>
              <w:cnfStyle w:val="000000100000"/>
              <w:rPr>
                <w:sz w:val="20"/>
                <w:szCs w:val="20"/>
              </w:rPr>
            </w:pPr>
            <w:r w:rsidRPr="008C65B3">
              <w:rPr>
                <w:sz w:val="20"/>
                <w:szCs w:val="20"/>
              </w:rPr>
              <w:t>6,7</w:t>
            </w:r>
            <w:r w:rsidR="0017345D" w:rsidRPr="008C65B3">
              <w:rPr>
                <w:sz w:val="20"/>
                <w:szCs w:val="20"/>
              </w:rPr>
              <w:t>%</w:t>
            </w:r>
          </w:p>
          <w:p w:rsidR="004D3BC1" w:rsidRPr="008C65B3" w:rsidRDefault="00DC0937" w:rsidP="000B690E">
            <w:pPr>
              <w:pStyle w:val="Default"/>
              <w:jc w:val="both"/>
              <w:cnfStyle w:val="000000100000"/>
              <w:rPr>
                <w:sz w:val="20"/>
                <w:szCs w:val="20"/>
              </w:rPr>
            </w:pPr>
            <w:r w:rsidRPr="008C65B3">
              <w:rPr>
                <w:sz w:val="20"/>
                <w:szCs w:val="20"/>
              </w:rPr>
              <w:t>13,3</w:t>
            </w:r>
            <w:r w:rsidR="0017345D" w:rsidRPr="008C65B3">
              <w:rPr>
                <w:sz w:val="20"/>
                <w:szCs w:val="20"/>
              </w:rPr>
              <w:t>%</w:t>
            </w:r>
          </w:p>
          <w:p w:rsidR="004D3BC1" w:rsidRPr="008C65B3" w:rsidRDefault="004D3BC1" w:rsidP="000B690E">
            <w:pPr>
              <w:pStyle w:val="Default"/>
              <w:jc w:val="both"/>
              <w:cnfStyle w:val="000000100000"/>
              <w:rPr>
                <w:sz w:val="20"/>
                <w:szCs w:val="20"/>
              </w:rPr>
            </w:pPr>
          </w:p>
          <w:p w:rsidR="004D3BC1" w:rsidRPr="008C65B3" w:rsidRDefault="004D3BC1" w:rsidP="000B690E">
            <w:pPr>
              <w:pStyle w:val="Default"/>
              <w:jc w:val="both"/>
              <w:cnfStyle w:val="000000100000"/>
              <w:rPr>
                <w:sz w:val="20"/>
                <w:szCs w:val="20"/>
              </w:rPr>
            </w:pPr>
            <w:r w:rsidRPr="008C65B3">
              <w:rPr>
                <w:sz w:val="20"/>
                <w:szCs w:val="20"/>
              </w:rPr>
              <w:t>53.3%</w:t>
            </w:r>
          </w:p>
          <w:p w:rsidR="004D3BC1" w:rsidRPr="008C65B3" w:rsidRDefault="004D3BC1" w:rsidP="000B690E">
            <w:pPr>
              <w:pStyle w:val="Default"/>
              <w:jc w:val="both"/>
              <w:cnfStyle w:val="000000100000"/>
              <w:rPr>
                <w:sz w:val="20"/>
                <w:szCs w:val="20"/>
              </w:rPr>
            </w:pPr>
            <w:r w:rsidRPr="008C65B3">
              <w:rPr>
                <w:sz w:val="20"/>
                <w:szCs w:val="20"/>
              </w:rPr>
              <w:t>20.0%</w:t>
            </w:r>
          </w:p>
          <w:p w:rsidR="004D3BC1" w:rsidRPr="008C65B3" w:rsidRDefault="004D3BC1" w:rsidP="000B690E">
            <w:pPr>
              <w:pStyle w:val="Default"/>
              <w:jc w:val="both"/>
              <w:cnfStyle w:val="000000100000"/>
              <w:rPr>
                <w:sz w:val="20"/>
                <w:szCs w:val="20"/>
              </w:rPr>
            </w:pPr>
          </w:p>
          <w:p w:rsidR="004D3BC1" w:rsidRPr="008C65B3" w:rsidRDefault="004D3BC1" w:rsidP="000B690E">
            <w:pPr>
              <w:pStyle w:val="Default"/>
              <w:jc w:val="both"/>
              <w:cnfStyle w:val="000000100000"/>
              <w:rPr>
                <w:sz w:val="20"/>
                <w:szCs w:val="20"/>
              </w:rPr>
            </w:pPr>
            <w:r w:rsidRPr="008C65B3">
              <w:rPr>
                <w:sz w:val="20"/>
                <w:szCs w:val="20"/>
              </w:rPr>
              <w:t>10%</w:t>
            </w:r>
          </w:p>
          <w:p w:rsidR="004D3BC1" w:rsidRPr="008C65B3" w:rsidRDefault="004D3BC1" w:rsidP="000B690E">
            <w:pPr>
              <w:pStyle w:val="Default"/>
              <w:jc w:val="both"/>
              <w:cnfStyle w:val="000000100000"/>
              <w:rPr>
                <w:sz w:val="20"/>
                <w:szCs w:val="20"/>
              </w:rPr>
            </w:pPr>
            <w:r w:rsidRPr="008C65B3">
              <w:rPr>
                <w:sz w:val="20"/>
                <w:szCs w:val="20"/>
              </w:rPr>
              <w:t>63.3%</w:t>
            </w:r>
          </w:p>
          <w:p w:rsidR="004D3BC1" w:rsidRPr="008C65B3" w:rsidRDefault="004D3BC1" w:rsidP="000B690E">
            <w:pPr>
              <w:pStyle w:val="Default"/>
              <w:jc w:val="both"/>
              <w:cnfStyle w:val="000000100000"/>
              <w:rPr>
                <w:sz w:val="20"/>
                <w:szCs w:val="20"/>
              </w:rPr>
            </w:pPr>
          </w:p>
          <w:p w:rsidR="004D3BC1" w:rsidRPr="008C65B3" w:rsidRDefault="004D3BC1" w:rsidP="000B690E">
            <w:pPr>
              <w:pStyle w:val="Default"/>
              <w:jc w:val="both"/>
              <w:cnfStyle w:val="000000100000"/>
              <w:rPr>
                <w:sz w:val="20"/>
                <w:szCs w:val="20"/>
              </w:rPr>
            </w:pPr>
            <w:r w:rsidRPr="008C65B3">
              <w:rPr>
                <w:sz w:val="20"/>
                <w:szCs w:val="20"/>
              </w:rPr>
              <w:t>53.3%</w:t>
            </w:r>
          </w:p>
          <w:p w:rsidR="004D3BC1" w:rsidRPr="008C65B3" w:rsidRDefault="004D3BC1" w:rsidP="000B690E">
            <w:pPr>
              <w:pStyle w:val="Default"/>
              <w:jc w:val="both"/>
              <w:cnfStyle w:val="000000100000"/>
              <w:rPr>
                <w:sz w:val="20"/>
                <w:szCs w:val="20"/>
              </w:rPr>
            </w:pPr>
            <w:r w:rsidRPr="008C65B3">
              <w:rPr>
                <w:sz w:val="20"/>
                <w:szCs w:val="20"/>
              </w:rPr>
              <w:t>20.0%</w:t>
            </w:r>
          </w:p>
          <w:p w:rsidR="004D3BC1" w:rsidRPr="008C65B3" w:rsidRDefault="004D3BC1" w:rsidP="000B690E">
            <w:pPr>
              <w:pStyle w:val="Default"/>
              <w:jc w:val="both"/>
              <w:cnfStyle w:val="000000100000"/>
              <w:rPr>
                <w:sz w:val="20"/>
                <w:szCs w:val="20"/>
              </w:rPr>
            </w:pPr>
          </w:p>
          <w:p w:rsidR="004D3BC1" w:rsidRPr="008C65B3" w:rsidRDefault="004D3BC1" w:rsidP="000B690E">
            <w:pPr>
              <w:pStyle w:val="Default"/>
              <w:jc w:val="both"/>
              <w:cnfStyle w:val="000000100000"/>
              <w:rPr>
                <w:sz w:val="20"/>
                <w:szCs w:val="20"/>
              </w:rPr>
            </w:pPr>
            <w:r w:rsidRPr="008C65B3">
              <w:rPr>
                <w:sz w:val="20"/>
                <w:szCs w:val="20"/>
              </w:rPr>
              <w:t>3.3%</w:t>
            </w:r>
          </w:p>
          <w:p w:rsidR="004D3BC1" w:rsidRPr="008C65B3" w:rsidRDefault="004D3BC1" w:rsidP="000B690E">
            <w:pPr>
              <w:pStyle w:val="Default"/>
              <w:jc w:val="both"/>
              <w:cnfStyle w:val="000000100000"/>
              <w:rPr>
                <w:sz w:val="20"/>
                <w:szCs w:val="20"/>
              </w:rPr>
            </w:pPr>
            <w:r w:rsidRPr="008C65B3">
              <w:rPr>
                <w:sz w:val="20"/>
                <w:szCs w:val="20"/>
              </w:rPr>
              <w:t>70.0%</w:t>
            </w:r>
          </w:p>
        </w:tc>
        <w:tc>
          <w:tcPr>
            <w:tcW w:w="992" w:type="dxa"/>
            <w:shd w:val="clear" w:color="auto" w:fill="auto"/>
          </w:tcPr>
          <w:p w:rsidR="001351DE" w:rsidRPr="008C65B3" w:rsidRDefault="001351DE" w:rsidP="000B690E">
            <w:pPr>
              <w:pStyle w:val="Default"/>
              <w:jc w:val="both"/>
              <w:cnfStyle w:val="000000100000"/>
              <w:rPr>
                <w:b/>
                <w:sz w:val="20"/>
                <w:szCs w:val="20"/>
              </w:rPr>
            </w:pPr>
          </w:p>
        </w:tc>
      </w:tr>
    </w:tbl>
    <w:p w:rsidR="00006801" w:rsidRPr="008C65B3" w:rsidRDefault="00006801" w:rsidP="00B56144">
      <w:pPr>
        <w:pStyle w:val="Default"/>
        <w:jc w:val="both"/>
        <w:rPr>
          <w:sz w:val="20"/>
          <w:szCs w:val="20"/>
        </w:rPr>
      </w:pPr>
    </w:p>
    <w:p w:rsidR="00264314" w:rsidRPr="008C65B3" w:rsidRDefault="0017345D" w:rsidP="00B56144">
      <w:pPr>
        <w:pStyle w:val="Default"/>
        <w:jc w:val="both"/>
        <w:rPr>
          <w:sz w:val="20"/>
          <w:szCs w:val="20"/>
        </w:rPr>
      </w:pPr>
      <w:r w:rsidRPr="008C65B3">
        <w:rPr>
          <w:color w:val="222222"/>
          <w:sz w:val="20"/>
          <w:szCs w:val="20"/>
          <w:lang w:val="id-ID"/>
        </w:rPr>
        <w:t>Tabel</w:t>
      </w:r>
      <w:r w:rsidRPr="008C65B3">
        <w:rPr>
          <w:color w:val="222222"/>
          <w:sz w:val="20"/>
          <w:szCs w:val="20"/>
        </w:rPr>
        <w:t xml:space="preserve"> 5. M</w:t>
      </w:r>
      <w:r w:rsidRPr="008C65B3">
        <w:rPr>
          <w:color w:val="222222"/>
          <w:sz w:val="20"/>
          <w:szCs w:val="20"/>
          <w:lang w:val="id-ID"/>
        </w:rPr>
        <w:t xml:space="preserve">enggambarkan bahwa sebagian besar </w:t>
      </w:r>
      <w:r w:rsidRPr="008C65B3">
        <w:rPr>
          <w:color w:val="222222"/>
          <w:sz w:val="20"/>
          <w:szCs w:val="20"/>
        </w:rPr>
        <w:t xml:space="preserve">penderita prediabetes/diabetes </w:t>
      </w:r>
      <w:r w:rsidRPr="008C65B3">
        <w:rPr>
          <w:color w:val="222222"/>
          <w:sz w:val="20"/>
          <w:szCs w:val="20"/>
          <w:lang w:val="id-ID"/>
        </w:rPr>
        <w:t xml:space="preserve">di </w:t>
      </w:r>
      <w:r w:rsidRPr="008C65B3">
        <w:rPr>
          <w:color w:val="222222"/>
          <w:sz w:val="20"/>
          <w:szCs w:val="20"/>
        </w:rPr>
        <w:t xml:space="preserve">wilayah </w:t>
      </w:r>
      <w:r w:rsidR="00360CBD" w:rsidRPr="008C65B3">
        <w:rPr>
          <w:color w:val="222222"/>
          <w:sz w:val="20"/>
          <w:szCs w:val="20"/>
        </w:rPr>
        <w:t xml:space="preserve">pesisir </w:t>
      </w:r>
      <w:r w:rsidRPr="008C65B3">
        <w:rPr>
          <w:color w:val="222222"/>
          <w:sz w:val="20"/>
          <w:szCs w:val="20"/>
          <w:lang w:val="id-ID"/>
        </w:rPr>
        <w:t>adalah perempuan (</w:t>
      </w:r>
      <w:r w:rsidR="00D30F8A" w:rsidRPr="008C65B3">
        <w:rPr>
          <w:color w:val="222222"/>
          <w:sz w:val="20"/>
          <w:szCs w:val="20"/>
        </w:rPr>
        <w:t>60</w:t>
      </w:r>
      <w:r w:rsidRPr="008C65B3">
        <w:rPr>
          <w:color w:val="222222"/>
          <w:sz w:val="20"/>
          <w:szCs w:val="20"/>
          <w:lang w:val="id-ID"/>
        </w:rPr>
        <w:t>%)</w:t>
      </w:r>
      <w:r w:rsidRPr="008C65B3">
        <w:rPr>
          <w:color w:val="222222"/>
          <w:sz w:val="20"/>
          <w:szCs w:val="20"/>
        </w:rPr>
        <w:t xml:space="preserve">, </w:t>
      </w:r>
      <w:r w:rsidRPr="008C65B3">
        <w:rPr>
          <w:color w:val="222222"/>
          <w:sz w:val="20"/>
          <w:szCs w:val="20"/>
          <w:lang w:val="id-ID"/>
        </w:rPr>
        <w:t>Terlihat pada</w:t>
      </w:r>
      <w:r w:rsidRPr="008C65B3">
        <w:rPr>
          <w:color w:val="222222"/>
          <w:sz w:val="20"/>
          <w:szCs w:val="20"/>
        </w:rPr>
        <w:t xml:space="preserve"> </w:t>
      </w:r>
      <w:r w:rsidRPr="008C65B3">
        <w:rPr>
          <w:color w:val="222222"/>
          <w:sz w:val="20"/>
          <w:szCs w:val="20"/>
          <w:lang w:val="id-ID"/>
        </w:rPr>
        <w:t>dasar usia, sebagian besar subyek pra-diabetes berada dalam suatu</w:t>
      </w:r>
      <w:r w:rsidRPr="008C65B3">
        <w:rPr>
          <w:color w:val="222222"/>
          <w:sz w:val="20"/>
          <w:szCs w:val="20"/>
        </w:rPr>
        <w:t xml:space="preserve"> </w:t>
      </w:r>
      <w:r w:rsidRPr="008C65B3">
        <w:rPr>
          <w:color w:val="222222"/>
          <w:sz w:val="20"/>
          <w:szCs w:val="20"/>
          <w:lang w:val="id-ID"/>
        </w:rPr>
        <w:t xml:space="preserve">rentang usia antara </w:t>
      </w:r>
      <w:r w:rsidRPr="008C65B3">
        <w:rPr>
          <w:color w:val="222222"/>
          <w:sz w:val="20"/>
          <w:szCs w:val="20"/>
        </w:rPr>
        <w:t>40</w:t>
      </w:r>
      <w:r w:rsidRPr="008C65B3">
        <w:rPr>
          <w:color w:val="222222"/>
          <w:sz w:val="20"/>
          <w:szCs w:val="20"/>
          <w:lang w:val="id-ID"/>
        </w:rPr>
        <w:t xml:space="preserve"> – </w:t>
      </w:r>
      <w:r w:rsidRPr="008C65B3">
        <w:rPr>
          <w:color w:val="222222"/>
          <w:sz w:val="20"/>
          <w:szCs w:val="20"/>
        </w:rPr>
        <w:t>5</w:t>
      </w:r>
      <w:r w:rsidRPr="008C65B3">
        <w:rPr>
          <w:color w:val="222222"/>
          <w:sz w:val="20"/>
          <w:szCs w:val="20"/>
          <w:lang w:val="id-ID"/>
        </w:rPr>
        <w:t>4</w:t>
      </w:r>
      <w:r w:rsidR="00CE2F80" w:rsidRPr="008C65B3">
        <w:rPr>
          <w:color w:val="222222"/>
          <w:sz w:val="20"/>
          <w:szCs w:val="20"/>
        </w:rPr>
        <w:t>(53,3</w:t>
      </w:r>
      <w:r w:rsidR="00D30F8A" w:rsidRPr="008C65B3">
        <w:rPr>
          <w:color w:val="222222"/>
          <w:sz w:val="20"/>
          <w:szCs w:val="20"/>
        </w:rPr>
        <w:t>%)</w:t>
      </w:r>
      <w:r w:rsidRPr="008C65B3">
        <w:rPr>
          <w:color w:val="222222"/>
          <w:sz w:val="20"/>
          <w:szCs w:val="20"/>
        </w:rPr>
        <w:t xml:space="preserve">, yang </w:t>
      </w:r>
      <w:r w:rsidR="00D30F8A" w:rsidRPr="008C65B3">
        <w:rPr>
          <w:color w:val="222222"/>
          <w:sz w:val="20"/>
          <w:szCs w:val="20"/>
        </w:rPr>
        <w:t>menderita hipertensi sebesar (53,3</w:t>
      </w:r>
      <w:r w:rsidRPr="008C65B3">
        <w:rPr>
          <w:color w:val="222222"/>
          <w:sz w:val="20"/>
          <w:szCs w:val="20"/>
        </w:rPr>
        <w:t xml:space="preserve">%), sebagian besar </w:t>
      </w:r>
      <w:r w:rsidR="00D30F8A" w:rsidRPr="008C65B3">
        <w:rPr>
          <w:color w:val="222222"/>
          <w:sz w:val="20"/>
          <w:szCs w:val="20"/>
        </w:rPr>
        <w:t>tidak obesitas sebesar (6</w:t>
      </w:r>
      <w:r w:rsidRPr="008C65B3">
        <w:rPr>
          <w:color w:val="222222"/>
          <w:sz w:val="20"/>
          <w:szCs w:val="20"/>
        </w:rPr>
        <w:t>3,3%), dan se</w:t>
      </w:r>
      <w:r w:rsidR="00D30F8A" w:rsidRPr="008C65B3">
        <w:rPr>
          <w:color w:val="222222"/>
          <w:sz w:val="20"/>
          <w:szCs w:val="20"/>
        </w:rPr>
        <w:t>bagian besar</w:t>
      </w:r>
      <w:r w:rsidRPr="008C65B3">
        <w:rPr>
          <w:color w:val="222222"/>
          <w:sz w:val="20"/>
          <w:szCs w:val="20"/>
        </w:rPr>
        <w:t xml:space="preserve"> melakukan aktif beraktifitas</w:t>
      </w:r>
      <w:r w:rsidR="00D30F8A" w:rsidRPr="008C65B3">
        <w:rPr>
          <w:color w:val="222222"/>
          <w:sz w:val="20"/>
          <w:szCs w:val="20"/>
        </w:rPr>
        <w:t xml:space="preserve"> (53,3</w:t>
      </w:r>
      <w:r w:rsidRPr="008C65B3">
        <w:rPr>
          <w:color w:val="222222"/>
          <w:sz w:val="20"/>
          <w:szCs w:val="20"/>
        </w:rPr>
        <w:t>%) dan se</w:t>
      </w:r>
      <w:r w:rsidR="00D30F8A" w:rsidRPr="008C65B3">
        <w:rPr>
          <w:color w:val="222222"/>
          <w:sz w:val="20"/>
          <w:szCs w:val="20"/>
        </w:rPr>
        <w:t>bagian besar tidak merokok (70</w:t>
      </w:r>
      <w:r w:rsidRPr="008C65B3">
        <w:rPr>
          <w:color w:val="222222"/>
          <w:sz w:val="20"/>
          <w:szCs w:val="20"/>
        </w:rPr>
        <w:t xml:space="preserve">%).  </w:t>
      </w: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B36E18" w:rsidRPr="008C65B3" w:rsidRDefault="00B36E18" w:rsidP="00B36E18">
      <w:pPr>
        <w:pStyle w:val="Default"/>
        <w:jc w:val="both"/>
        <w:rPr>
          <w:b/>
          <w:sz w:val="20"/>
          <w:szCs w:val="20"/>
        </w:rPr>
      </w:pPr>
      <w:r w:rsidRPr="008C65B3">
        <w:rPr>
          <w:sz w:val="20"/>
          <w:szCs w:val="20"/>
        </w:rPr>
        <w:t>Tabel 6.</w:t>
      </w:r>
      <w:r w:rsidRPr="008C65B3">
        <w:rPr>
          <w:b/>
          <w:sz w:val="20"/>
          <w:szCs w:val="20"/>
        </w:rPr>
        <w:t xml:space="preserve"> </w:t>
      </w:r>
      <w:r w:rsidRPr="008C65B3">
        <w:rPr>
          <w:sz w:val="20"/>
          <w:szCs w:val="20"/>
        </w:rPr>
        <w:t>Karakteristik prediabetes di wilayah perkotaan</w:t>
      </w:r>
    </w:p>
    <w:tbl>
      <w:tblPr>
        <w:tblStyle w:val="ColorfulList-Accent6"/>
        <w:tblpPr w:leftFromText="180" w:rightFromText="180" w:vertAnchor="text" w:horzAnchor="margin" w:tblpY="175"/>
        <w:tblW w:w="8472" w:type="dxa"/>
        <w:tblLayout w:type="fixed"/>
        <w:tblLook w:val="04A0"/>
      </w:tblPr>
      <w:tblGrid>
        <w:gridCol w:w="534"/>
        <w:gridCol w:w="1559"/>
        <w:gridCol w:w="3402"/>
        <w:gridCol w:w="709"/>
        <w:gridCol w:w="1276"/>
        <w:gridCol w:w="992"/>
      </w:tblGrid>
      <w:tr w:rsidR="00360CBD" w:rsidRPr="008C65B3" w:rsidTr="00B36E18">
        <w:trPr>
          <w:gridAfter w:val="1"/>
          <w:cnfStyle w:val="100000000000"/>
          <w:wAfter w:w="992" w:type="dxa"/>
        </w:trPr>
        <w:tc>
          <w:tcPr>
            <w:cnfStyle w:val="001000000000"/>
            <w:tcW w:w="534" w:type="dxa"/>
            <w:tcBorders>
              <w:top w:val="single" w:sz="4" w:space="0" w:color="auto"/>
              <w:bottom w:val="single" w:sz="4" w:space="0" w:color="auto"/>
            </w:tcBorders>
            <w:shd w:val="clear" w:color="auto" w:fill="auto"/>
          </w:tcPr>
          <w:p w:rsidR="00360CBD" w:rsidRPr="008C65B3" w:rsidRDefault="00360CBD" w:rsidP="00B36E18">
            <w:pPr>
              <w:pStyle w:val="Default"/>
              <w:jc w:val="both"/>
              <w:rPr>
                <w:b w:val="0"/>
                <w:sz w:val="20"/>
                <w:szCs w:val="20"/>
              </w:rPr>
            </w:pPr>
            <w:r w:rsidRPr="008C65B3">
              <w:rPr>
                <w:b w:val="0"/>
                <w:sz w:val="20"/>
                <w:szCs w:val="20"/>
              </w:rPr>
              <w:t>No</w:t>
            </w:r>
          </w:p>
        </w:tc>
        <w:tc>
          <w:tcPr>
            <w:tcW w:w="1559" w:type="dxa"/>
            <w:tcBorders>
              <w:top w:val="single" w:sz="4" w:space="0" w:color="auto"/>
              <w:bottom w:val="single" w:sz="4" w:space="0" w:color="auto"/>
            </w:tcBorders>
            <w:shd w:val="clear" w:color="auto" w:fill="auto"/>
          </w:tcPr>
          <w:p w:rsidR="00360CBD" w:rsidRPr="008C65B3" w:rsidRDefault="00360CBD" w:rsidP="00B36E18">
            <w:pPr>
              <w:pStyle w:val="Default"/>
              <w:jc w:val="both"/>
              <w:cnfStyle w:val="100000000000"/>
              <w:rPr>
                <w:b w:val="0"/>
                <w:sz w:val="20"/>
                <w:szCs w:val="20"/>
              </w:rPr>
            </w:pPr>
            <w:r w:rsidRPr="008C65B3">
              <w:rPr>
                <w:b w:val="0"/>
                <w:sz w:val="20"/>
                <w:szCs w:val="20"/>
              </w:rPr>
              <w:t>Karakteristik</w:t>
            </w:r>
          </w:p>
        </w:tc>
        <w:tc>
          <w:tcPr>
            <w:tcW w:w="3402" w:type="dxa"/>
            <w:tcBorders>
              <w:top w:val="single" w:sz="4" w:space="0" w:color="auto"/>
              <w:bottom w:val="single" w:sz="4" w:space="0" w:color="auto"/>
            </w:tcBorders>
            <w:shd w:val="clear" w:color="auto" w:fill="auto"/>
          </w:tcPr>
          <w:p w:rsidR="00360CBD" w:rsidRPr="008C65B3" w:rsidRDefault="00360CBD" w:rsidP="00B36E18">
            <w:pPr>
              <w:pStyle w:val="Default"/>
              <w:ind w:right="505"/>
              <w:jc w:val="both"/>
              <w:cnfStyle w:val="100000000000"/>
              <w:rPr>
                <w:b w:val="0"/>
                <w:sz w:val="20"/>
                <w:szCs w:val="20"/>
              </w:rPr>
            </w:pPr>
            <w:r w:rsidRPr="008C65B3">
              <w:rPr>
                <w:b w:val="0"/>
                <w:sz w:val="20"/>
                <w:szCs w:val="20"/>
              </w:rPr>
              <w:t>Katagori</w:t>
            </w:r>
          </w:p>
        </w:tc>
        <w:tc>
          <w:tcPr>
            <w:tcW w:w="709" w:type="dxa"/>
            <w:tcBorders>
              <w:top w:val="single" w:sz="4" w:space="0" w:color="auto"/>
              <w:bottom w:val="single" w:sz="4" w:space="0" w:color="auto"/>
            </w:tcBorders>
            <w:shd w:val="clear" w:color="auto" w:fill="auto"/>
          </w:tcPr>
          <w:p w:rsidR="00360CBD" w:rsidRPr="008C65B3" w:rsidRDefault="00360CBD" w:rsidP="00B36E18">
            <w:pPr>
              <w:pStyle w:val="Default"/>
              <w:jc w:val="both"/>
              <w:cnfStyle w:val="100000000000"/>
              <w:rPr>
                <w:b w:val="0"/>
                <w:sz w:val="20"/>
                <w:szCs w:val="20"/>
              </w:rPr>
            </w:pPr>
            <w:r w:rsidRPr="008C65B3">
              <w:rPr>
                <w:b w:val="0"/>
                <w:sz w:val="20"/>
                <w:szCs w:val="20"/>
              </w:rPr>
              <w:t>total</w:t>
            </w:r>
          </w:p>
        </w:tc>
        <w:tc>
          <w:tcPr>
            <w:tcW w:w="1276" w:type="dxa"/>
            <w:tcBorders>
              <w:top w:val="single" w:sz="4" w:space="0" w:color="auto"/>
              <w:bottom w:val="single" w:sz="4" w:space="0" w:color="auto"/>
            </w:tcBorders>
            <w:shd w:val="clear" w:color="auto" w:fill="auto"/>
          </w:tcPr>
          <w:p w:rsidR="00360CBD" w:rsidRPr="008C65B3" w:rsidRDefault="00360CBD" w:rsidP="00B36E18">
            <w:pPr>
              <w:pStyle w:val="Default"/>
              <w:jc w:val="both"/>
              <w:cnfStyle w:val="100000000000"/>
              <w:rPr>
                <w:b w:val="0"/>
                <w:sz w:val="20"/>
                <w:szCs w:val="20"/>
              </w:rPr>
            </w:pPr>
            <w:r w:rsidRPr="008C65B3">
              <w:rPr>
                <w:b w:val="0"/>
                <w:sz w:val="20"/>
                <w:szCs w:val="20"/>
              </w:rPr>
              <w:t>presentase</w:t>
            </w:r>
          </w:p>
        </w:tc>
      </w:tr>
      <w:tr w:rsidR="00360CBD" w:rsidRPr="008C65B3" w:rsidTr="00B36E18">
        <w:trPr>
          <w:gridAfter w:val="1"/>
          <w:cnfStyle w:val="000000100000"/>
          <w:wAfter w:w="992" w:type="dxa"/>
        </w:trPr>
        <w:tc>
          <w:tcPr>
            <w:cnfStyle w:val="001000000000"/>
            <w:tcW w:w="534" w:type="dxa"/>
            <w:tcBorders>
              <w:top w:val="single" w:sz="4" w:space="0" w:color="auto"/>
            </w:tcBorders>
            <w:shd w:val="clear" w:color="auto" w:fill="auto"/>
          </w:tcPr>
          <w:p w:rsidR="00360CBD" w:rsidRPr="008C65B3" w:rsidRDefault="00360CBD" w:rsidP="00B36E18">
            <w:pPr>
              <w:pStyle w:val="Default"/>
              <w:jc w:val="both"/>
              <w:rPr>
                <w:b w:val="0"/>
                <w:sz w:val="20"/>
                <w:szCs w:val="20"/>
              </w:rPr>
            </w:pPr>
            <w:r w:rsidRPr="008C65B3">
              <w:rPr>
                <w:b w:val="0"/>
                <w:sz w:val="20"/>
                <w:szCs w:val="20"/>
              </w:rPr>
              <w:t>1</w:t>
            </w:r>
          </w:p>
        </w:tc>
        <w:tc>
          <w:tcPr>
            <w:tcW w:w="1559" w:type="dxa"/>
            <w:tcBorders>
              <w:top w:val="single" w:sz="4" w:space="0" w:color="auto"/>
            </w:tcBorders>
            <w:shd w:val="clear" w:color="auto" w:fill="auto"/>
          </w:tcPr>
          <w:p w:rsidR="00360CBD" w:rsidRPr="008C65B3" w:rsidRDefault="00360CBD" w:rsidP="00B36E18">
            <w:pPr>
              <w:pStyle w:val="Default"/>
              <w:jc w:val="both"/>
              <w:cnfStyle w:val="000000100000"/>
              <w:rPr>
                <w:sz w:val="20"/>
                <w:szCs w:val="20"/>
              </w:rPr>
            </w:pPr>
            <w:r w:rsidRPr="008C65B3">
              <w:rPr>
                <w:sz w:val="20"/>
                <w:szCs w:val="20"/>
              </w:rPr>
              <w:t>Jenis kelamin</w:t>
            </w:r>
          </w:p>
        </w:tc>
        <w:tc>
          <w:tcPr>
            <w:tcW w:w="3402" w:type="dxa"/>
            <w:tcBorders>
              <w:top w:val="single" w:sz="4" w:space="0" w:color="auto"/>
            </w:tcBorders>
            <w:shd w:val="clear" w:color="auto" w:fill="auto"/>
          </w:tcPr>
          <w:p w:rsidR="00360CBD" w:rsidRPr="008C65B3" w:rsidRDefault="00360CBD" w:rsidP="00B36E18">
            <w:pPr>
              <w:pStyle w:val="Default"/>
              <w:jc w:val="both"/>
              <w:cnfStyle w:val="000000100000"/>
              <w:rPr>
                <w:sz w:val="20"/>
                <w:szCs w:val="20"/>
              </w:rPr>
            </w:pPr>
            <w:r w:rsidRPr="008C65B3">
              <w:rPr>
                <w:sz w:val="20"/>
                <w:szCs w:val="20"/>
              </w:rPr>
              <w:t>Laki-laki</w:t>
            </w:r>
          </w:p>
        </w:tc>
        <w:tc>
          <w:tcPr>
            <w:tcW w:w="709" w:type="dxa"/>
            <w:tcBorders>
              <w:top w:val="single" w:sz="4" w:space="0" w:color="auto"/>
            </w:tcBorders>
            <w:shd w:val="clear" w:color="auto" w:fill="auto"/>
          </w:tcPr>
          <w:p w:rsidR="00360CBD" w:rsidRPr="008C65B3" w:rsidRDefault="00360CBD" w:rsidP="00B36E18">
            <w:pPr>
              <w:pStyle w:val="Default"/>
              <w:jc w:val="both"/>
              <w:cnfStyle w:val="000000100000"/>
              <w:rPr>
                <w:sz w:val="20"/>
                <w:szCs w:val="20"/>
              </w:rPr>
            </w:pPr>
            <w:r w:rsidRPr="008C65B3">
              <w:rPr>
                <w:sz w:val="20"/>
                <w:szCs w:val="20"/>
              </w:rPr>
              <w:t>11</w:t>
            </w:r>
          </w:p>
        </w:tc>
        <w:tc>
          <w:tcPr>
            <w:tcW w:w="1276" w:type="dxa"/>
            <w:tcBorders>
              <w:top w:val="single" w:sz="4" w:space="0" w:color="auto"/>
            </w:tcBorders>
            <w:shd w:val="clear" w:color="auto" w:fill="auto"/>
          </w:tcPr>
          <w:p w:rsidR="00360CBD" w:rsidRPr="008C65B3" w:rsidRDefault="00360CBD" w:rsidP="00B36E18">
            <w:pPr>
              <w:pStyle w:val="Default"/>
              <w:jc w:val="both"/>
              <w:cnfStyle w:val="000000100000"/>
              <w:rPr>
                <w:sz w:val="20"/>
                <w:szCs w:val="20"/>
              </w:rPr>
            </w:pPr>
            <w:r w:rsidRPr="008C65B3">
              <w:rPr>
                <w:sz w:val="20"/>
                <w:szCs w:val="20"/>
              </w:rPr>
              <w:t>36.7%</w:t>
            </w:r>
          </w:p>
        </w:tc>
      </w:tr>
      <w:tr w:rsidR="00B36E18" w:rsidRPr="008C65B3" w:rsidTr="00B36E18">
        <w:tc>
          <w:tcPr>
            <w:cnfStyle w:val="001000000000"/>
            <w:tcW w:w="534" w:type="dxa"/>
            <w:shd w:val="clear" w:color="auto" w:fill="auto"/>
          </w:tcPr>
          <w:p w:rsidR="00B36E18" w:rsidRPr="008C65B3" w:rsidRDefault="00B36E18" w:rsidP="00B36E18">
            <w:pPr>
              <w:pStyle w:val="Default"/>
              <w:jc w:val="both"/>
              <w:rPr>
                <w:b w:val="0"/>
                <w:sz w:val="20"/>
                <w:szCs w:val="20"/>
              </w:rPr>
            </w:pPr>
          </w:p>
        </w:tc>
        <w:tc>
          <w:tcPr>
            <w:tcW w:w="1559" w:type="dxa"/>
            <w:shd w:val="clear" w:color="auto" w:fill="auto"/>
          </w:tcPr>
          <w:p w:rsidR="00B36E18" w:rsidRPr="008C65B3" w:rsidRDefault="00B36E18" w:rsidP="00B36E18">
            <w:pPr>
              <w:pStyle w:val="Default"/>
              <w:jc w:val="both"/>
              <w:cnfStyle w:val="000000000000"/>
              <w:rPr>
                <w:b/>
                <w:sz w:val="20"/>
                <w:szCs w:val="20"/>
              </w:rPr>
            </w:pPr>
          </w:p>
        </w:tc>
        <w:tc>
          <w:tcPr>
            <w:tcW w:w="3402" w:type="dxa"/>
            <w:shd w:val="clear" w:color="auto" w:fill="auto"/>
          </w:tcPr>
          <w:p w:rsidR="00B36E18" w:rsidRPr="008C65B3" w:rsidRDefault="00B36E18" w:rsidP="00B36E18">
            <w:pPr>
              <w:pStyle w:val="Default"/>
              <w:jc w:val="both"/>
              <w:cnfStyle w:val="000000000000"/>
              <w:rPr>
                <w:sz w:val="20"/>
                <w:szCs w:val="20"/>
              </w:rPr>
            </w:pPr>
            <w:r w:rsidRPr="008C65B3">
              <w:rPr>
                <w:sz w:val="20"/>
                <w:szCs w:val="20"/>
              </w:rPr>
              <w:t>Perempuan</w:t>
            </w:r>
          </w:p>
        </w:tc>
        <w:tc>
          <w:tcPr>
            <w:tcW w:w="709" w:type="dxa"/>
            <w:shd w:val="clear" w:color="auto" w:fill="auto"/>
          </w:tcPr>
          <w:p w:rsidR="00B36E18" w:rsidRPr="008C65B3" w:rsidRDefault="00DC0937" w:rsidP="00B36E18">
            <w:pPr>
              <w:pStyle w:val="Default"/>
              <w:jc w:val="both"/>
              <w:cnfStyle w:val="000000000000"/>
              <w:rPr>
                <w:sz w:val="20"/>
                <w:szCs w:val="20"/>
              </w:rPr>
            </w:pPr>
            <w:r w:rsidRPr="008C65B3">
              <w:rPr>
                <w:sz w:val="20"/>
                <w:szCs w:val="20"/>
              </w:rPr>
              <w:t>15</w:t>
            </w:r>
          </w:p>
          <w:p w:rsidR="00264314" w:rsidRPr="008C65B3" w:rsidRDefault="00264314" w:rsidP="00B36E18">
            <w:pPr>
              <w:pStyle w:val="Default"/>
              <w:jc w:val="both"/>
              <w:cnfStyle w:val="000000000000"/>
              <w:rPr>
                <w:sz w:val="20"/>
                <w:szCs w:val="20"/>
              </w:rPr>
            </w:pPr>
          </w:p>
        </w:tc>
        <w:tc>
          <w:tcPr>
            <w:tcW w:w="1276" w:type="dxa"/>
            <w:shd w:val="clear" w:color="auto" w:fill="auto"/>
          </w:tcPr>
          <w:p w:rsidR="00B36E18" w:rsidRPr="008C65B3" w:rsidRDefault="00DC0937" w:rsidP="00B36E18">
            <w:pPr>
              <w:pStyle w:val="Default"/>
              <w:jc w:val="both"/>
              <w:cnfStyle w:val="000000000000"/>
              <w:rPr>
                <w:sz w:val="20"/>
                <w:szCs w:val="20"/>
              </w:rPr>
            </w:pPr>
            <w:r w:rsidRPr="008C65B3">
              <w:rPr>
                <w:sz w:val="20"/>
                <w:szCs w:val="20"/>
              </w:rPr>
              <w:t>50.0</w:t>
            </w:r>
            <w:r w:rsidR="00264314" w:rsidRPr="008C65B3">
              <w:rPr>
                <w:sz w:val="20"/>
                <w:szCs w:val="20"/>
              </w:rPr>
              <w:t>%</w:t>
            </w:r>
          </w:p>
          <w:p w:rsidR="00264314" w:rsidRPr="008C65B3" w:rsidRDefault="00264314" w:rsidP="00B36E18">
            <w:pPr>
              <w:pStyle w:val="Default"/>
              <w:jc w:val="both"/>
              <w:cnfStyle w:val="000000000000"/>
              <w:rPr>
                <w:sz w:val="20"/>
                <w:szCs w:val="20"/>
              </w:rPr>
            </w:pPr>
          </w:p>
        </w:tc>
        <w:tc>
          <w:tcPr>
            <w:tcW w:w="992" w:type="dxa"/>
            <w:shd w:val="clear" w:color="auto" w:fill="auto"/>
          </w:tcPr>
          <w:p w:rsidR="00B36E18" w:rsidRPr="008C65B3" w:rsidRDefault="00B36E18" w:rsidP="00B36E18">
            <w:pPr>
              <w:pStyle w:val="Default"/>
              <w:jc w:val="both"/>
              <w:cnfStyle w:val="000000000000"/>
              <w:rPr>
                <w:b/>
                <w:sz w:val="20"/>
                <w:szCs w:val="20"/>
              </w:rPr>
            </w:pPr>
          </w:p>
        </w:tc>
      </w:tr>
      <w:tr w:rsidR="00B36E18" w:rsidRPr="008C65B3" w:rsidTr="00B36E18">
        <w:trPr>
          <w:cnfStyle w:val="000000100000"/>
        </w:trPr>
        <w:tc>
          <w:tcPr>
            <w:cnfStyle w:val="001000000000"/>
            <w:tcW w:w="534" w:type="dxa"/>
            <w:shd w:val="clear" w:color="auto" w:fill="auto"/>
          </w:tcPr>
          <w:p w:rsidR="00B36E18" w:rsidRPr="008C65B3" w:rsidRDefault="00B36E18" w:rsidP="00B36E18">
            <w:pPr>
              <w:pStyle w:val="Default"/>
              <w:jc w:val="both"/>
              <w:rPr>
                <w:b w:val="0"/>
                <w:sz w:val="20"/>
                <w:szCs w:val="20"/>
              </w:rPr>
            </w:pPr>
            <w:r w:rsidRPr="008C65B3">
              <w:rPr>
                <w:b w:val="0"/>
                <w:sz w:val="20"/>
                <w:szCs w:val="20"/>
              </w:rPr>
              <w:t>2.</w:t>
            </w:r>
          </w:p>
          <w:p w:rsidR="00B36E18" w:rsidRPr="008C65B3" w:rsidRDefault="00B36E18" w:rsidP="00B36E18">
            <w:pPr>
              <w:pStyle w:val="Default"/>
              <w:jc w:val="both"/>
              <w:rPr>
                <w:b w:val="0"/>
                <w:sz w:val="20"/>
                <w:szCs w:val="20"/>
              </w:rPr>
            </w:pPr>
          </w:p>
          <w:p w:rsidR="00B36E18" w:rsidRPr="008C65B3" w:rsidRDefault="00B36E18" w:rsidP="00B36E18">
            <w:pPr>
              <w:pStyle w:val="Default"/>
              <w:jc w:val="both"/>
              <w:rPr>
                <w:b w:val="0"/>
                <w:sz w:val="20"/>
                <w:szCs w:val="20"/>
              </w:rPr>
            </w:pPr>
          </w:p>
          <w:p w:rsidR="00264314" w:rsidRPr="008C65B3" w:rsidRDefault="00264314" w:rsidP="00B36E18">
            <w:pPr>
              <w:pStyle w:val="Default"/>
              <w:jc w:val="both"/>
              <w:rPr>
                <w:b w:val="0"/>
                <w:sz w:val="20"/>
                <w:szCs w:val="20"/>
              </w:rPr>
            </w:pPr>
          </w:p>
          <w:p w:rsidR="00B36E18" w:rsidRPr="008C65B3" w:rsidRDefault="00B36E18" w:rsidP="00B36E18">
            <w:pPr>
              <w:pStyle w:val="Default"/>
              <w:jc w:val="both"/>
              <w:rPr>
                <w:b w:val="0"/>
                <w:sz w:val="20"/>
                <w:szCs w:val="20"/>
              </w:rPr>
            </w:pPr>
            <w:r w:rsidRPr="008C65B3">
              <w:rPr>
                <w:b w:val="0"/>
                <w:sz w:val="20"/>
                <w:szCs w:val="20"/>
              </w:rPr>
              <w:t>3.</w:t>
            </w:r>
          </w:p>
          <w:p w:rsidR="00B36E18" w:rsidRPr="008C65B3" w:rsidRDefault="00B36E18" w:rsidP="00B36E18">
            <w:pPr>
              <w:pStyle w:val="Default"/>
              <w:jc w:val="both"/>
              <w:rPr>
                <w:b w:val="0"/>
                <w:sz w:val="20"/>
                <w:szCs w:val="20"/>
              </w:rPr>
            </w:pPr>
          </w:p>
          <w:p w:rsidR="00264314" w:rsidRPr="008C65B3" w:rsidRDefault="00264314" w:rsidP="00B36E18">
            <w:pPr>
              <w:pStyle w:val="Default"/>
              <w:jc w:val="both"/>
              <w:rPr>
                <w:b w:val="0"/>
                <w:sz w:val="20"/>
                <w:szCs w:val="20"/>
              </w:rPr>
            </w:pPr>
          </w:p>
          <w:p w:rsidR="00B36E18" w:rsidRPr="008C65B3" w:rsidRDefault="00B36E18" w:rsidP="00B36E18">
            <w:pPr>
              <w:pStyle w:val="Default"/>
              <w:jc w:val="both"/>
              <w:rPr>
                <w:b w:val="0"/>
                <w:sz w:val="20"/>
                <w:szCs w:val="20"/>
              </w:rPr>
            </w:pPr>
            <w:r w:rsidRPr="008C65B3">
              <w:rPr>
                <w:b w:val="0"/>
                <w:sz w:val="20"/>
                <w:szCs w:val="20"/>
              </w:rPr>
              <w:t>4.</w:t>
            </w:r>
          </w:p>
          <w:p w:rsidR="00B36E18" w:rsidRPr="008C65B3" w:rsidRDefault="00B36E18" w:rsidP="00B36E18">
            <w:pPr>
              <w:pStyle w:val="Default"/>
              <w:jc w:val="both"/>
              <w:rPr>
                <w:b w:val="0"/>
                <w:sz w:val="20"/>
                <w:szCs w:val="20"/>
              </w:rPr>
            </w:pPr>
          </w:p>
          <w:p w:rsidR="00264314" w:rsidRPr="008C65B3" w:rsidRDefault="00264314" w:rsidP="00B36E18">
            <w:pPr>
              <w:pStyle w:val="Default"/>
              <w:jc w:val="both"/>
              <w:rPr>
                <w:b w:val="0"/>
                <w:sz w:val="20"/>
                <w:szCs w:val="20"/>
              </w:rPr>
            </w:pPr>
          </w:p>
          <w:p w:rsidR="00B36E18" w:rsidRPr="008C65B3" w:rsidRDefault="00B36E18" w:rsidP="00B36E18">
            <w:pPr>
              <w:pStyle w:val="Default"/>
              <w:jc w:val="both"/>
              <w:rPr>
                <w:b w:val="0"/>
                <w:sz w:val="20"/>
                <w:szCs w:val="20"/>
              </w:rPr>
            </w:pPr>
            <w:r w:rsidRPr="008C65B3">
              <w:rPr>
                <w:b w:val="0"/>
                <w:sz w:val="20"/>
                <w:szCs w:val="20"/>
              </w:rPr>
              <w:t>5.</w:t>
            </w:r>
          </w:p>
          <w:p w:rsidR="00B36E18" w:rsidRPr="008C65B3" w:rsidRDefault="00B36E18" w:rsidP="00B36E18">
            <w:pPr>
              <w:pStyle w:val="Default"/>
              <w:jc w:val="both"/>
              <w:rPr>
                <w:b w:val="0"/>
                <w:sz w:val="20"/>
                <w:szCs w:val="20"/>
              </w:rPr>
            </w:pPr>
          </w:p>
          <w:p w:rsidR="00264314" w:rsidRPr="008C65B3" w:rsidRDefault="00264314" w:rsidP="00B36E18">
            <w:pPr>
              <w:pStyle w:val="Default"/>
              <w:jc w:val="both"/>
              <w:rPr>
                <w:b w:val="0"/>
                <w:sz w:val="20"/>
                <w:szCs w:val="20"/>
              </w:rPr>
            </w:pPr>
          </w:p>
          <w:p w:rsidR="00B36E18" w:rsidRPr="008C65B3" w:rsidRDefault="00B36E18" w:rsidP="00B36E18">
            <w:pPr>
              <w:pStyle w:val="Default"/>
              <w:jc w:val="both"/>
              <w:rPr>
                <w:b w:val="0"/>
                <w:sz w:val="20"/>
                <w:szCs w:val="20"/>
              </w:rPr>
            </w:pPr>
            <w:r w:rsidRPr="008C65B3">
              <w:rPr>
                <w:b w:val="0"/>
                <w:sz w:val="20"/>
                <w:szCs w:val="20"/>
              </w:rPr>
              <w:t xml:space="preserve">6.    </w:t>
            </w:r>
          </w:p>
        </w:tc>
        <w:tc>
          <w:tcPr>
            <w:tcW w:w="1559" w:type="dxa"/>
            <w:shd w:val="clear" w:color="auto" w:fill="auto"/>
          </w:tcPr>
          <w:p w:rsidR="00B36E18" w:rsidRPr="008C65B3" w:rsidRDefault="00B36E18" w:rsidP="00B36E18">
            <w:pPr>
              <w:pStyle w:val="Default"/>
              <w:jc w:val="both"/>
              <w:cnfStyle w:val="000000100000"/>
              <w:rPr>
                <w:sz w:val="20"/>
                <w:szCs w:val="20"/>
              </w:rPr>
            </w:pPr>
            <w:r w:rsidRPr="008C65B3">
              <w:rPr>
                <w:sz w:val="20"/>
                <w:szCs w:val="20"/>
              </w:rPr>
              <w:t>Usia</w:t>
            </w:r>
          </w:p>
          <w:p w:rsidR="00B36E18" w:rsidRPr="008C65B3" w:rsidRDefault="00B36E18"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r w:rsidRPr="008C65B3">
              <w:rPr>
                <w:sz w:val="20"/>
                <w:szCs w:val="20"/>
              </w:rPr>
              <w:t>Hipertensi</w:t>
            </w:r>
          </w:p>
          <w:p w:rsidR="00B36E18" w:rsidRPr="008C65B3" w:rsidRDefault="00B36E18"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r w:rsidRPr="008C65B3">
              <w:rPr>
                <w:sz w:val="20"/>
                <w:szCs w:val="20"/>
              </w:rPr>
              <w:t>Obesitas</w:t>
            </w:r>
          </w:p>
          <w:p w:rsidR="00B36E18" w:rsidRPr="008C65B3" w:rsidRDefault="00B36E18"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r w:rsidRPr="008C65B3">
              <w:rPr>
                <w:sz w:val="20"/>
                <w:szCs w:val="20"/>
              </w:rPr>
              <w:t>Aktifitas</w:t>
            </w:r>
          </w:p>
          <w:p w:rsidR="00B36E18" w:rsidRPr="008C65B3" w:rsidRDefault="00B36E18"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r w:rsidRPr="008C65B3">
              <w:rPr>
                <w:sz w:val="20"/>
                <w:szCs w:val="20"/>
              </w:rPr>
              <w:t>Merokok</w:t>
            </w:r>
          </w:p>
        </w:tc>
        <w:tc>
          <w:tcPr>
            <w:tcW w:w="3402" w:type="dxa"/>
            <w:shd w:val="clear" w:color="auto" w:fill="auto"/>
          </w:tcPr>
          <w:p w:rsidR="00B36E18" w:rsidRPr="008C65B3" w:rsidRDefault="00B36E18" w:rsidP="00B36E18">
            <w:pPr>
              <w:pStyle w:val="Default"/>
              <w:jc w:val="both"/>
              <w:cnfStyle w:val="000000100000"/>
              <w:rPr>
                <w:sz w:val="20"/>
                <w:szCs w:val="20"/>
              </w:rPr>
            </w:pPr>
            <w:r w:rsidRPr="008C65B3">
              <w:rPr>
                <w:sz w:val="20"/>
                <w:szCs w:val="20"/>
              </w:rPr>
              <w:t>40 -54 tahun</w:t>
            </w:r>
          </w:p>
          <w:p w:rsidR="00B36E18" w:rsidRPr="008C65B3" w:rsidRDefault="00B36E18" w:rsidP="00B36E18">
            <w:pPr>
              <w:pStyle w:val="Default"/>
              <w:jc w:val="both"/>
              <w:cnfStyle w:val="000000100000"/>
              <w:rPr>
                <w:sz w:val="20"/>
                <w:szCs w:val="20"/>
              </w:rPr>
            </w:pPr>
            <w:r w:rsidRPr="008C65B3">
              <w:rPr>
                <w:sz w:val="20"/>
                <w:szCs w:val="20"/>
              </w:rPr>
              <w:t>55-64 tahun</w:t>
            </w:r>
          </w:p>
          <w:p w:rsidR="00B36E18" w:rsidRPr="008C65B3" w:rsidRDefault="00B36E18" w:rsidP="00B36E18">
            <w:pPr>
              <w:pStyle w:val="Default"/>
              <w:jc w:val="both"/>
              <w:cnfStyle w:val="000000100000"/>
              <w:rPr>
                <w:sz w:val="20"/>
                <w:szCs w:val="20"/>
              </w:rPr>
            </w:pPr>
            <w:r w:rsidRPr="008C65B3">
              <w:rPr>
                <w:sz w:val="20"/>
                <w:szCs w:val="20"/>
              </w:rPr>
              <w:t>≥ 65 tahun</w:t>
            </w:r>
          </w:p>
          <w:p w:rsidR="00264314" w:rsidRPr="008C65B3" w:rsidRDefault="00264314"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r w:rsidRPr="008C65B3">
              <w:rPr>
                <w:sz w:val="20"/>
                <w:szCs w:val="20"/>
              </w:rPr>
              <w:t>Ya</w:t>
            </w:r>
          </w:p>
          <w:p w:rsidR="00B36E18" w:rsidRPr="008C65B3" w:rsidRDefault="00B36E18" w:rsidP="00B36E18">
            <w:pPr>
              <w:pStyle w:val="Default"/>
              <w:jc w:val="both"/>
              <w:cnfStyle w:val="000000100000"/>
              <w:rPr>
                <w:sz w:val="20"/>
                <w:szCs w:val="20"/>
              </w:rPr>
            </w:pPr>
            <w:r w:rsidRPr="008C65B3">
              <w:rPr>
                <w:sz w:val="20"/>
                <w:szCs w:val="20"/>
              </w:rPr>
              <w:t>Tidak</w:t>
            </w:r>
          </w:p>
          <w:p w:rsidR="00264314" w:rsidRPr="008C65B3" w:rsidRDefault="00264314"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r w:rsidRPr="008C65B3">
              <w:rPr>
                <w:sz w:val="20"/>
                <w:szCs w:val="20"/>
              </w:rPr>
              <w:t>Ya</w:t>
            </w:r>
          </w:p>
          <w:p w:rsidR="00B36E18" w:rsidRPr="008C65B3" w:rsidRDefault="00B36E18" w:rsidP="00B36E18">
            <w:pPr>
              <w:pStyle w:val="Default"/>
              <w:jc w:val="both"/>
              <w:cnfStyle w:val="000000100000"/>
              <w:rPr>
                <w:sz w:val="20"/>
                <w:szCs w:val="20"/>
              </w:rPr>
            </w:pPr>
            <w:r w:rsidRPr="008C65B3">
              <w:rPr>
                <w:sz w:val="20"/>
                <w:szCs w:val="20"/>
              </w:rPr>
              <w:t>Tidak</w:t>
            </w:r>
          </w:p>
          <w:p w:rsidR="00264314" w:rsidRPr="008C65B3" w:rsidRDefault="00264314"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r w:rsidRPr="008C65B3">
              <w:rPr>
                <w:sz w:val="20"/>
                <w:szCs w:val="20"/>
              </w:rPr>
              <w:t>Ya</w:t>
            </w:r>
          </w:p>
          <w:p w:rsidR="00B36E18" w:rsidRPr="008C65B3" w:rsidRDefault="00B36E18" w:rsidP="00B36E18">
            <w:pPr>
              <w:pStyle w:val="Default"/>
              <w:jc w:val="both"/>
              <w:cnfStyle w:val="000000100000"/>
              <w:rPr>
                <w:sz w:val="20"/>
                <w:szCs w:val="20"/>
              </w:rPr>
            </w:pPr>
            <w:r w:rsidRPr="008C65B3">
              <w:rPr>
                <w:sz w:val="20"/>
                <w:szCs w:val="20"/>
              </w:rPr>
              <w:t>Tidak</w:t>
            </w:r>
          </w:p>
          <w:p w:rsidR="00264314" w:rsidRPr="008C65B3" w:rsidRDefault="00264314" w:rsidP="00B36E18">
            <w:pPr>
              <w:pStyle w:val="Default"/>
              <w:jc w:val="both"/>
              <w:cnfStyle w:val="000000100000"/>
              <w:rPr>
                <w:sz w:val="20"/>
                <w:szCs w:val="20"/>
              </w:rPr>
            </w:pPr>
          </w:p>
          <w:p w:rsidR="00B36E18" w:rsidRPr="008C65B3" w:rsidRDefault="00B36E18" w:rsidP="00B36E18">
            <w:pPr>
              <w:pStyle w:val="Default"/>
              <w:jc w:val="both"/>
              <w:cnfStyle w:val="000000100000"/>
              <w:rPr>
                <w:sz w:val="20"/>
                <w:szCs w:val="20"/>
              </w:rPr>
            </w:pPr>
            <w:r w:rsidRPr="008C65B3">
              <w:rPr>
                <w:sz w:val="20"/>
                <w:szCs w:val="20"/>
              </w:rPr>
              <w:t>Ya</w:t>
            </w:r>
          </w:p>
          <w:p w:rsidR="00B36E18" w:rsidRPr="008C65B3" w:rsidRDefault="00B36E18" w:rsidP="00B36E18">
            <w:pPr>
              <w:pStyle w:val="Default"/>
              <w:jc w:val="both"/>
              <w:cnfStyle w:val="000000100000"/>
              <w:rPr>
                <w:sz w:val="20"/>
                <w:szCs w:val="20"/>
              </w:rPr>
            </w:pPr>
            <w:r w:rsidRPr="008C65B3">
              <w:rPr>
                <w:sz w:val="20"/>
                <w:szCs w:val="20"/>
              </w:rPr>
              <w:lastRenderedPageBreak/>
              <w:t>Tidak</w:t>
            </w:r>
          </w:p>
        </w:tc>
        <w:tc>
          <w:tcPr>
            <w:tcW w:w="709" w:type="dxa"/>
            <w:shd w:val="clear" w:color="auto" w:fill="auto"/>
          </w:tcPr>
          <w:p w:rsidR="00B36E18" w:rsidRPr="008C65B3" w:rsidRDefault="00DC0937" w:rsidP="00B36E18">
            <w:pPr>
              <w:pStyle w:val="Default"/>
              <w:jc w:val="both"/>
              <w:cnfStyle w:val="000000100000"/>
              <w:rPr>
                <w:sz w:val="20"/>
                <w:szCs w:val="20"/>
              </w:rPr>
            </w:pPr>
            <w:r w:rsidRPr="008C65B3">
              <w:rPr>
                <w:sz w:val="20"/>
                <w:szCs w:val="20"/>
              </w:rPr>
              <w:lastRenderedPageBreak/>
              <w:t>10</w:t>
            </w:r>
          </w:p>
          <w:p w:rsidR="00264314" w:rsidRPr="008C65B3" w:rsidRDefault="00DC0937" w:rsidP="00B36E18">
            <w:pPr>
              <w:pStyle w:val="Default"/>
              <w:jc w:val="both"/>
              <w:cnfStyle w:val="000000100000"/>
              <w:rPr>
                <w:sz w:val="20"/>
                <w:szCs w:val="20"/>
              </w:rPr>
            </w:pPr>
            <w:r w:rsidRPr="008C65B3">
              <w:rPr>
                <w:sz w:val="20"/>
                <w:szCs w:val="20"/>
              </w:rPr>
              <w:t>19</w:t>
            </w:r>
          </w:p>
          <w:p w:rsidR="00264314" w:rsidRPr="008C65B3" w:rsidRDefault="00DC0937" w:rsidP="00B36E18">
            <w:pPr>
              <w:pStyle w:val="Default"/>
              <w:jc w:val="both"/>
              <w:cnfStyle w:val="000000100000"/>
              <w:rPr>
                <w:b/>
                <w:sz w:val="20"/>
                <w:szCs w:val="20"/>
              </w:rPr>
            </w:pPr>
            <w:r w:rsidRPr="008C65B3">
              <w:rPr>
                <w:b/>
                <w:sz w:val="20"/>
                <w:szCs w:val="20"/>
              </w:rPr>
              <w:t>7</w:t>
            </w:r>
          </w:p>
          <w:p w:rsidR="00264314" w:rsidRPr="008C65B3" w:rsidRDefault="00264314" w:rsidP="00B36E18">
            <w:pPr>
              <w:pStyle w:val="Default"/>
              <w:jc w:val="both"/>
              <w:cnfStyle w:val="000000100000"/>
              <w:rPr>
                <w:b/>
                <w:sz w:val="20"/>
                <w:szCs w:val="20"/>
              </w:rPr>
            </w:pPr>
          </w:p>
          <w:p w:rsidR="00264314" w:rsidRPr="008C65B3" w:rsidRDefault="00264314" w:rsidP="00B36E18">
            <w:pPr>
              <w:pStyle w:val="Default"/>
              <w:jc w:val="both"/>
              <w:cnfStyle w:val="000000100000"/>
              <w:rPr>
                <w:sz w:val="20"/>
                <w:szCs w:val="20"/>
              </w:rPr>
            </w:pPr>
            <w:r w:rsidRPr="008C65B3">
              <w:rPr>
                <w:sz w:val="20"/>
                <w:szCs w:val="20"/>
              </w:rPr>
              <w:t>4</w:t>
            </w:r>
          </w:p>
          <w:p w:rsidR="00264314" w:rsidRPr="008C65B3" w:rsidRDefault="00264314" w:rsidP="00B36E18">
            <w:pPr>
              <w:pStyle w:val="Default"/>
              <w:jc w:val="both"/>
              <w:cnfStyle w:val="000000100000"/>
              <w:rPr>
                <w:sz w:val="20"/>
                <w:szCs w:val="20"/>
              </w:rPr>
            </w:pPr>
            <w:r w:rsidRPr="008C65B3">
              <w:rPr>
                <w:sz w:val="20"/>
                <w:szCs w:val="20"/>
              </w:rPr>
              <w:t>22</w:t>
            </w:r>
          </w:p>
          <w:p w:rsidR="00264314" w:rsidRPr="008C65B3" w:rsidRDefault="00264314"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r w:rsidRPr="008C65B3">
              <w:rPr>
                <w:sz w:val="20"/>
                <w:szCs w:val="20"/>
              </w:rPr>
              <w:t>13</w:t>
            </w:r>
          </w:p>
          <w:p w:rsidR="00264314" w:rsidRPr="008C65B3" w:rsidRDefault="00264314" w:rsidP="00B36E18">
            <w:pPr>
              <w:pStyle w:val="Default"/>
              <w:jc w:val="both"/>
              <w:cnfStyle w:val="000000100000"/>
              <w:rPr>
                <w:sz w:val="20"/>
                <w:szCs w:val="20"/>
              </w:rPr>
            </w:pPr>
            <w:r w:rsidRPr="008C65B3">
              <w:rPr>
                <w:sz w:val="20"/>
                <w:szCs w:val="20"/>
              </w:rPr>
              <w:t>13</w:t>
            </w:r>
          </w:p>
          <w:p w:rsidR="00264314" w:rsidRPr="008C65B3" w:rsidRDefault="00264314"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r w:rsidRPr="008C65B3">
              <w:rPr>
                <w:sz w:val="20"/>
                <w:szCs w:val="20"/>
              </w:rPr>
              <w:t>9</w:t>
            </w:r>
          </w:p>
          <w:p w:rsidR="00264314" w:rsidRPr="008C65B3" w:rsidRDefault="00264314" w:rsidP="00B36E18">
            <w:pPr>
              <w:pStyle w:val="Default"/>
              <w:jc w:val="both"/>
              <w:cnfStyle w:val="000000100000"/>
              <w:rPr>
                <w:sz w:val="20"/>
                <w:szCs w:val="20"/>
              </w:rPr>
            </w:pPr>
            <w:r w:rsidRPr="008C65B3">
              <w:rPr>
                <w:sz w:val="20"/>
                <w:szCs w:val="20"/>
              </w:rPr>
              <w:t>17</w:t>
            </w:r>
          </w:p>
          <w:p w:rsidR="00264314" w:rsidRPr="008C65B3" w:rsidRDefault="00264314"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r w:rsidRPr="008C65B3">
              <w:rPr>
                <w:sz w:val="20"/>
                <w:szCs w:val="20"/>
              </w:rPr>
              <w:t>5</w:t>
            </w:r>
          </w:p>
          <w:p w:rsidR="00264314" w:rsidRPr="008C65B3" w:rsidRDefault="00264314" w:rsidP="00B36E18">
            <w:pPr>
              <w:pStyle w:val="Default"/>
              <w:jc w:val="both"/>
              <w:cnfStyle w:val="000000100000"/>
              <w:rPr>
                <w:b/>
                <w:sz w:val="20"/>
                <w:szCs w:val="20"/>
              </w:rPr>
            </w:pPr>
            <w:r w:rsidRPr="008C65B3">
              <w:rPr>
                <w:sz w:val="20"/>
                <w:szCs w:val="20"/>
              </w:rPr>
              <w:lastRenderedPageBreak/>
              <w:t>21</w:t>
            </w:r>
          </w:p>
        </w:tc>
        <w:tc>
          <w:tcPr>
            <w:tcW w:w="1276" w:type="dxa"/>
            <w:shd w:val="clear" w:color="auto" w:fill="auto"/>
          </w:tcPr>
          <w:p w:rsidR="00B36E18" w:rsidRPr="008C65B3" w:rsidRDefault="00DC0937" w:rsidP="00B36E18">
            <w:pPr>
              <w:pStyle w:val="Default"/>
              <w:jc w:val="both"/>
              <w:cnfStyle w:val="000000100000"/>
              <w:rPr>
                <w:sz w:val="20"/>
                <w:szCs w:val="20"/>
              </w:rPr>
            </w:pPr>
            <w:r w:rsidRPr="008C65B3">
              <w:rPr>
                <w:sz w:val="20"/>
                <w:szCs w:val="20"/>
              </w:rPr>
              <w:lastRenderedPageBreak/>
              <w:t>3</w:t>
            </w:r>
            <w:r w:rsidR="00360CBD" w:rsidRPr="008C65B3">
              <w:rPr>
                <w:sz w:val="20"/>
                <w:szCs w:val="20"/>
              </w:rPr>
              <w:t>3.3%</w:t>
            </w:r>
          </w:p>
          <w:p w:rsidR="00264314" w:rsidRPr="008C65B3" w:rsidRDefault="00DC0937" w:rsidP="00B36E18">
            <w:pPr>
              <w:pStyle w:val="Default"/>
              <w:jc w:val="both"/>
              <w:cnfStyle w:val="000000100000"/>
              <w:rPr>
                <w:sz w:val="20"/>
                <w:szCs w:val="20"/>
              </w:rPr>
            </w:pPr>
            <w:r w:rsidRPr="008C65B3">
              <w:rPr>
                <w:sz w:val="20"/>
                <w:szCs w:val="20"/>
              </w:rPr>
              <w:t>30.0</w:t>
            </w:r>
            <w:r w:rsidR="00360CBD" w:rsidRPr="008C65B3">
              <w:rPr>
                <w:sz w:val="20"/>
                <w:szCs w:val="20"/>
              </w:rPr>
              <w:t>%</w:t>
            </w:r>
          </w:p>
          <w:p w:rsidR="00264314" w:rsidRPr="008C65B3" w:rsidRDefault="00DC0937" w:rsidP="00B36E18">
            <w:pPr>
              <w:pStyle w:val="Default"/>
              <w:jc w:val="both"/>
              <w:cnfStyle w:val="000000100000"/>
              <w:rPr>
                <w:sz w:val="20"/>
                <w:szCs w:val="20"/>
              </w:rPr>
            </w:pPr>
            <w:r w:rsidRPr="008C65B3">
              <w:rPr>
                <w:sz w:val="20"/>
                <w:szCs w:val="20"/>
              </w:rPr>
              <w:t>23.4</w:t>
            </w:r>
            <w:r w:rsidR="00360CBD" w:rsidRPr="008C65B3">
              <w:rPr>
                <w:sz w:val="20"/>
                <w:szCs w:val="20"/>
              </w:rPr>
              <w:t>%</w:t>
            </w:r>
          </w:p>
          <w:p w:rsidR="00264314" w:rsidRPr="008C65B3" w:rsidRDefault="00264314"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r w:rsidRPr="008C65B3">
              <w:rPr>
                <w:sz w:val="20"/>
                <w:szCs w:val="20"/>
              </w:rPr>
              <w:t>13.3%</w:t>
            </w:r>
          </w:p>
          <w:p w:rsidR="00264314" w:rsidRPr="008C65B3" w:rsidRDefault="00DC0937" w:rsidP="00B36E18">
            <w:pPr>
              <w:pStyle w:val="Default"/>
              <w:jc w:val="both"/>
              <w:cnfStyle w:val="000000100000"/>
              <w:rPr>
                <w:sz w:val="20"/>
                <w:szCs w:val="20"/>
              </w:rPr>
            </w:pPr>
            <w:r w:rsidRPr="008C65B3">
              <w:rPr>
                <w:sz w:val="20"/>
                <w:szCs w:val="20"/>
              </w:rPr>
              <w:t>73.4</w:t>
            </w:r>
            <w:r w:rsidR="00264314" w:rsidRPr="008C65B3">
              <w:rPr>
                <w:sz w:val="20"/>
                <w:szCs w:val="20"/>
              </w:rPr>
              <w:t>%</w:t>
            </w:r>
          </w:p>
          <w:p w:rsidR="00264314" w:rsidRPr="008C65B3" w:rsidRDefault="00264314" w:rsidP="00B36E18">
            <w:pPr>
              <w:pStyle w:val="Default"/>
              <w:jc w:val="both"/>
              <w:cnfStyle w:val="000000100000"/>
              <w:rPr>
                <w:sz w:val="20"/>
                <w:szCs w:val="20"/>
              </w:rPr>
            </w:pPr>
          </w:p>
          <w:p w:rsidR="00264314" w:rsidRPr="008C65B3" w:rsidRDefault="00264314" w:rsidP="00B36E18">
            <w:pPr>
              <w:pStyle w:val="Default"/>
              <w:jc w:val="both"/>
              <w:cnfStyle w:val="000000100000"/>
              <w:rPr>
                <w:sz w:val="20"/>
                <w:szCs w:val="20"/>
              </w:rPr>
            </w:pPr>
            <w:r w:rsidRPr="008C65B3">
              <w:rPr>
                <w:sz w:val="20"/>
                <w:szCs w:val="20"/>
              </w:rPr>
              <w:t>43.3%</w:t>
            </w:r>
          </w:p>
          <w:p w:rsidR="00264314" w:rsidRPr="008C65B3" w:rsidRDefault="00264314" w:rsidP="00B36E18">
            <w:pPr>
              <w:pStyle w:val="Default"/>
              <w:jc w:val="both"/>
              <w:cnfStyle w:val="000000100000"/>
              <w:rPr>
                <w:sz w:val="20"/>
                <w:szCs w:val="20"/>
              </w:rPr>
            </w:pPr>
            <w:r w:rsidRPr="008C65B3">
              <w:rPr>
                <w:sz w:val="20"/>
                <w:szCs w:val="20"/>
              </w:rPr>
              <w:t>43.3%</w:t>
            </w:r>
          </w:p>
          <w:p w:rsidR="000B690E" w:rsidRPr="008C65B3" w:rsidRDefault="000B690E" w:rsidP="00B36E18">
            <w:pPr>
              <w:pStyle w:val="Default"/>
              <w:jc w:val="both"/>
              <w:cnfStyle w:val="000000100000"/>
              <w:rPr>
                <w:sz w:val="20"/>
                <w:szCs w:val="20"/>
              </w:rPr>
            </w:pPr>
          </w:p>
          <w:p w:rsidR="00264314" w:rsidRPr="008C65B3" w:rsidRDefault="00DC0937" w:rsidP="00B36E18">
            <w:pPr>
              <w:pStyle w:val="Default"/>
              <w:jc w:val="both"/>
              <w:cnfStyle w:val="000000100000"/>
              <w:rPr>
                <w:sz w:val="20"/>
                <w:szCs w:val="20"/>
              </w:rPr>
            </w:pPr>
            <w:r w:rsidRPr="008C65B3">
              <w:rPr>
                <w:sz w:val="20"/>
                <w:szCs w:val="20"/>
              </w:rPr>
              <w:t>30,0</w:t>
            </w:r>
            <w:r w:rsidR="00264314" w:rsidRPr="008C65B3">
              <w:rPr>
                <w:sz w:val="20"/>
                <w:szCs w:val="20"/>
              </w:rPr>
              <w:t>%</w:t>
            </w:r>
          </w:p>
          <w:p w:rsidR="00264314" w:rsidRPr="008C65B3" w:rsidRDefault="00DC0937" w:rsidP="00B36E18">
            <w:pPr>
              <w:pStyle w:val="Default"/>
              <w:jc w:val="both"/>
              <w:cnfStyle w:val="000000100000"/>
              <w:rPr>
                <w:sz w:val="20"/>
                <w:szCs w:val="20"/>
              </w:rPr>
            </w:pPr>
            <w:r w:rsidRPr="008C65B3">
              <w:rPr>
                <w:sz w:val="20"/>
                <w:szCs w:val="20"/>
              </w:rPr>
              <w:t>56.7</w:t>
            </w:r>
            <w:r w:rsidR="00264314" w:rsidRPr="008C65B3">
              <w:rPr>
                <w:sz w:val="20"/>
                <w:szCs w:val="20"/>
              </w:rPr>
              <w:t>%</w:t>
            </w:r>
          </w:p>
          <w:p w:rsidR="000B690E" w:rsidRPr="008C65B3" w:rsidRDefault="000B690E" w:rsidP="00B36E18">
            <w:pPr>
              <w:pStyle w:val="Default"/>
              <w:jc w:val="both"/>
              <w:cnfStyle w:val="000000100000"/>
              <w:rPr>
                <w:sz w:val="20"/>
                <w:szCs w:val="20"/>
              </w:rPr>
            </w:pPr>
          </w:p>
          <w:p w:rsidR="00264314" w:rsidRPr="008C65B3" w:rsidRDefault="00DC0937" w:rsidP="00B36E18">
            <w:pPr>
              <w:pStyle w:val="Default"/>
              <w:jc w:val="both"/>
              <w:cnfStyle w:val="000000100000"/>
              <w:rPr>
                <w:sz w:val="20"/>
                <w:szCs w:val="20"/>
              </w:rPr>
            </w:pPr>
            <w:r w:rsidRPr="008C65B3">
              <w:rPr>
                <w:sz w:val="20"/>
                <w:szCs w:val="20"/>
              </w:rPr>
              <w:t>16.7</w:t>
            </w:r>
            <w:r w:rsidR="00264314" w:rsidRPr="008C65B3">
              <w:rPr>
                <w:sz w:val="20"/>
                <w:szCs w:val="20"/>
              </w:rPr>
              <w:t>%</w:t>
            </w:r>
          </w:p>
          <w:p w:rsidR="00264314" w:rsidRPr="008C65B3" w:rsidRDefault="00264314" w:rsidP="00B36E18">
            <w:pPr>
              <w:pStyle w:val="Default"/>
              <w:jc w:val="both"/>
              <w:cnfStyle w:val="000000100000"/>
              <w:rPr>
                <w:sz w:val="20"/>
                <w:szCs w:val="20"/>
              </w:rPr>
            </w:pPr>
            <w:r w:rsidRPr="008C65B3">
              <w:rPr>
                <w:sz w:val="20"/>
                <w:szCs w:val="20"/>
              </w:rPr>
              <w:lastRenderedPageBreak/>
              <w:t>70.0%</w:t>
            </w:r>
          </w:p>
        </w:tc>
        <w:tc>
          <w:tcPr>
            <w:tcW w:w="992" w:type="dxa"/>
            <w:shd w:val="clear" w:color="auto" w:fill="auto"/>
          </w:tcPr>
          <w:p w:rsidR="00B36E18" w:rsidRPr="008C65B3" w:rsidRDefault="00B36E18" w:rsidP="00B36E18">
            <w:pPr>
              <w:pStyle w:val="Default"/>
              <w:jc w:val="both"/>
              <w:cnfStyle w:val="000000100000"/>
              <w:rPr>
                <w:b/>
                <w:sz w:val="20"/>
                <w:szCs w:val="20"/>
              </w:rPr>
            </w:pPr>
          </w:p>
        </w:tc>
      </w:tr>
    </w:tbl>
    <w:p w:rsidR="00B36E18" w:rsidRPr="008C65B3" w:rsidRDefault="00B36E18" w:rsidP="00B56144">
      <w:pPr>
        <w:pStyle w:val="Default"/>
        <w:jc w:val="both"/>
        <w:rPr>
          <w:sz w:val="20"/>
          <w:szCs w:val="20"/>
        </w:rPr>
      </w:pPr>
    </w:p>
    <w:p w:rsidR="00B36E18" w:rsidRPr="008C65B3" w:rsidRDefault="00B36E18" w:rsidP="00B36E18">
      <w:pPr>
        <w:pStyle w:val="Default"/>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264314" w:rsidRPr="008C65B3" w:rsidRDefault="00264314" w:rsidP="00B56144">
      <w:pPr>
        <w:pStyle w:val="Default"/>
        <w:jc w:val="both"/>
        <w:rPr>
          <w:sz w:val="20"/>
          <w:szCs w:val="20"/>
        </w:rPr>
      </w:pPr>
    </w:p>
    <w:p w:rsidR="000B690E" w:rsidRPr="008C65B3" w:rsidRDefault="000B690E" w:rsidP="00B56144">
      <w:pPr>
        <w:pStyle w:val="Default"/>
        <w:jc w:val="both"/>
        <w:rPr>
          <w:sz w:val="20"/>
          <w:szCs w:val="20"/>
        </w:rPr>
      </w:pPr>
    </w:p>
    <w:p w:rsidR="00D30F8A" w:rsidRPr="008C65B3" w:rsidRDefault="00D30F8A" w:rsidP="00D30F8A">
      <w:pPr>
        <w:pStyle w:val="Default"/>
        <w:jc w:val="both"/>
        <w:rPr>
          <w:sz w:val="20"/>
          <w:szCs w:val="20"/>
        </w:rPr>
      </w:pPr>
      <w:r w:rsidRPr="008C65B3">
        <w:rPr>
          <w:color w:val="222222"/>
          <w:sz w:val="20"/>
          <w:szCs w:val="20"/>
          <w:lang w:val="id-ID"/>
        </w:rPr>
        <w:t>Tabel</w:t>
      </w:r>
      <w:r w:rsidRPr="008C65B3">
        <w:rPr>
          <w:color w:val="222222"/>
          <w:sz w:val="20"/>
          <w:szCs w:val="20"/>
        </w:rPr>
        <w:t xml:space="preserve"> 6. M</w:t>
      </w:r>
      <w:r w:rsidRPr="008C65B3">
        <w:rPr>
          <w:color w:val="222222"/>
          <w:sz w:val="20"/>
          <w:szCs w:val="20"/>
          <w:lang w:val="id-ID"/>
        </w:rPr>
        <w:t xml:space="preserve">enggambarkan bahwa sebagian besar </w:t>
      </w:r>
      <w:r w:rsidRPr="008C65B3">
        <w:rPr>
          <w:color w:val="222222"/>
          <w:sz w:val="20"/>
          <w:szCs w:val="20"/>
        </w:rPr>
        <w:t xml:space="preserve">penderita prediabetes/diabetes </w:t>
      </w:r>
      <w:r w:rsidRPr="008C65B3">
        <w:rPr>
          <w:color w:val="222222"/>
          <w:sz w:val="20"/>
          <w:szCs w:val="20"/>
          <w:lang w:val="id-ID"/>
        </w:rPr>
        <w:t xml:space="preserve">di </w:t>
      </w:r>
      <w:r w:rsidRPr="008C65B3">
        <w:rPr>
          <w:color w:val="222222"/>
          <w:sz w:val="20"/>
          <w:szCs w:val="20"/>
        </w:rPr>
        <w:t xml:space="preserve">wilayah </w:t>
      </w:r>
      <w:r w:rsidR="00360CBD" w:rsidRPr="008C65B3">
        <w:rPr>
          <w:color w:val="222222"/>
          <w:sz w:val="20"/>
          <w:szCs w:val="20"/>
        </w:rPr>
        <w:t xml:space="preserve">perkotaan </w:t>
      </w:r>
      <w:r w:rsidRPr="008C65B3">
        <w:rPr>
          <w:color w:val="222222"/>
          <w:sz w:val="20"/>
          <w:szCs w:val="20"/>
          <w:lang w:val="id-ID"/>
        </w:rPr>
        <w:t>adalah perempuan (</w:t>
      </w:r>
      <w:r w:rsidR="00CE2F80" w:rsidRPr="008C65B3">
        <w:rPr>
          <w:color w:val="222222"/>
          <w:sz w:val="20"/>
          <w:szCs w:val="20"/>
        </w:rPr>
        <w:t>50</w:t>
      </w:r>
      <w:r w:rsidRPr="008C65B3">
        <w:rPr>
          <w:color w:val="222222"/>
          <w:sz w:val="20"/>
          <w:szCs w:val="20"/>
          <w:lang w:val="id-ID"/>
        </w:rPr>
        <w:t>%)</w:t>
      </w:r>
      <w:r w:rsidRPr="008C65B3">
        <w:rPr>
          <w:color w:val="222222"/>
          <w:sz w:val="20"/>
          <w:szCs w:val="20"/>
        </w:rPr>
        <w:t xml:space="preserve">, </w:t>
      </w:r>
      <w:r w:rsidRPr="008C65B3">
        <w:rPr>
          <w:color w:val="222222"/>
          <w:sz w:val="20"/>
          <w:szCs w:val="20"/>
          <w:lang w:val="id-ID"/>
        </w:rPr>
        <w:t>Terlihat pada</w:t>
      </w:r>
      <w:r w:rsidRPr="008C65B3">
        <w:rPr>
          <w:color w:val="222222"/>
          <w:sz w:val="20"/>
          <w:szCs w:val="20"/>
        </w:rPr>
        <w:t xml:space="preserve"> </w:t>
      </w:r>
      <w:r w:rsidRPr="008C65B3">
        <w:rPr>
          <w:color w:val="222222"/>
          <w:sz w:val="20"/>
          <w:szCs w:val="20"/>
          <w:lang w:val="id-ID"/>
        </w:rPr>
        <w:t>dasar usia, sebagian besar subyek pra-diabetes berada dalam suatu</w:t>
      </w:r>
      <w:r w:rsidRPr="008C65B3">
        <w:rPr>
          <w:color w:val="222222"/>
          <w:sz w:val="20"/>
          <w:szCs w:val="20"/>
        </w:rPr>
        <w:t xml:space="preserve"> </w:t>
      </w:r>
      <w:r w:rsidRPr="008C65B3">
        <w:rPr>
          <w:color w:val="222222"/>
          <w:sz w:val="20"/>
          <w:szCs w:val="20"/>
          <w:lang w:val="id-ID"/>
        </w:rPr>
        <w:t xml:space="preserve">rentang usia antara </w:t>
      </w:r>
      <w:r w:rsidRPr="008C65B3">
        <w:rPr>
          <w:color w:val="222222"/>
          <w:sz w:val="20"/>
          <w:szCs w:val="20"/>
        </w:rPr>
        <w:t>40</w:t>
      </w:r>
      <w:r w:rsidRPr="008C65B3">
        <w:rPr>
          <w:color w:val="222222"/>
          <w:sz w:val="20"/>
          <w:szCs w:val="20"/>
          <w:lang w:val="id-ID"/>
        </w:rPr>
        <w:t xml:space="preserve"> – </w:t>
      </w:r>
      <w:r w:rsidRPr="008C65B3">
        <w:rPr>
          <w:color w:val="222222"/>
          <w:sz w:val="20"/>
          <w:szCs w:val="20"/>
        </w:rPr>
        <w:t>5</w:t>
      </w:r>
      <w:r w:rsidRPr="008C65B3">
        <w:rPr>
          <w:color w:val="222222"/>
          <w:sz w:val="20"/>
          <w:szCs w:val="20"/>
          <w:lang w:val="id-ID"/>
        </w:rPr>
        <w:t>4</w:t>
      </w:r>
      <w:r w:rsidR="00CE2F80" w:rsidRPr="008C65B3">
        <w:rPr>
          <w:color w:val="222222"/>
          <w:sz w:val="20"/>
          <w:szCs w:val="20"/>
        </w:rPr>
        <w:t>(3</w:t>
      </w:r>
      <w:r w:rsidR="00EE59B2" w:rsidRPr="008C65B3">
        <w:rPr>
          <w:color w:val="222222"/>
          <w:sz w:val="20"/>
          <w:szCs w:val="20"/>
        </w:rPr>
        <w:t>3,3</w:t>
      </w:r>
      <w:r w:rsidRPr="008C65B3">
        <w:rPr>
          <w:color w:val="222222"/>
          <w:sz w:val="20"/>
          <w:szCs w:val="20"/>
        </w:rPr>
        <w:t xml:space="preserve">%), </w:t>
      </w:r>
      <w:r w:rsidR="00EE59B2" w:rsidRPr="008C65B3">
        <w:rPr>
          <w:color w:val="222222"/>
          <w:sz w:val="20"/>
          <w:szCs w:val="20"/>
        </w:rPr>
        <w:t xml:space="preserve">sebagian besar tidak </w:t>
      </w:r>
      <w:r w:rsidR="00CE2F80" w:rsidRPr="008C65B3">
        <w:rPr>
          <w:color w:val="222222"/>
          <w:sz w:val="20"/>
          <w:szCs w:val="20"/>
        </w:rPr>
        <w:t>menderita hipertensi sebesar (73,4</w:t>
      </w:r>
      <w:r w:rsidRPr="008C65B3">
        <w:rPr>
          <w:color w:val="222222"/>
          <w:sz w:val="20"/>
          <w:szCs w:val="20"/>
        </w:rPr>
        <w:t>%), sebagian besar obesitas sebesar (</w:t>
      </w:r>
      <w:r w:rsidR="00CE2F80" w:rsidRPr="008C65B3">
        <w:rPr>
          <w:color w:val="222222"/>
          <w:sz w:val="20"/>
          <w:szCs w:val="20"/>
        </w:rPr>
        <w:t>43,3</w:t>
      </w:r>
      <w:r w:rsidRPr="008C65B3">
        <w:rPr>
          <w:color w:val="222222"/>
          <w:sz w:val="20"/>
          <w:szCs w:val="20"/>
        </w:rPr>
        <w:t xml:space="preserve">%), dan sebagian besar melakukan </w:t>
      </w:r>
      <w:r w:rsidR="00EE59B2" w:rsidRPr="008C65B3">
        <w:rPr>
          <w:color w:val="222222"/>
          <w:sz w:val="20"/>
          <w:szCs w:val="20"/>
        </w:rPr>
        <w:t xml:space="preserve">tidak </w:t>
      </w:r>
      <w:r w:rsidRPr="008C65B3">
        <w:rPr>
          <w:color w:val="222222"/>
          <w:sz w:val="20"/>
          <w:szCs w:val="20"/>
        </w:rPr>
        <w:t>aktif beraktifitas (</w:t>
      </w:r>
      <w:r w:rsidR="00CE2F80" w:rsidRPr="008C65B3">
        <w:rPr>
          <w:color w:val="222222"/>
          <w:sz w:val="20"/>
          <w:szCs w:val="20"/>
        </w:rPr>
        <w:t>56,7</w:t>
      </w:r>
      <w:r w:rsidRPr="008C65B3">
        <w:rPr>
          <w:color w:val="222222"/>
          <w:sz w:val="20"/>
          <w:szCs w:val="20"/>
        </w:rPr>
        <w:t>%) dan se</w:t>
      </w:r>
      <w:r w:rsidR="00CE2F80" w:rsidRPr="008C65B3">
        <w:rPr>
          <w:color w:val="222222"/>
          <w:sz w:val="20"/>
          <w:szCs w:val="20"/>
        </w:rPr>
        <w:t>bagian besar tidak merokok (70</w:t>
      </w:r>
      <w:r w:rsidRPr="008C65B3">
        <w:rPr>
          <w:color w:val="222222"/>
          <w:sz w:val="20"/>
          <w:szCs w:val="20"/>
        </w:rPr>
        <w:t xml:space="preserve">%).  </w:t>
      </w:r>
    </w:p>
    <w:p w:rsidR="000B690E" w:rsidRPr="008C65B3" w:rsidRDefault="000B690E" w:rsidP="00B56144">
      <w:pPr>
        <w:pStyle w:val="Default"/>
        <w:jc w:val="both"/>
        <w:rPr>
          <w:sz w:val="20"/>
          <w:szCs w:val="20"/>
        </w:rPr>
      </w:pPr>
    </w:p>
    <w:p w:rsidR="00F023D9" w:rsidRPr="008C65B3" w:rsidRDefault="00F023D9" w:rsidP="00B56144">
      <w:pPr>
        <w:pStyle w:val="Default"/>
        <w:jc w:val="both"/>
        <w:rPr>
          <w:rStyle w:val="A7"/>
          <w:sz w:val="20"/>
          <w:szCs w:val="20"/>
        </w:rPr>
      </w:pPr>
    </w:p>
    <w:p w:rsidR="00F023D9" w:rsidRPr="008C65B3" w:rsidRDefault="00F023D9" w:rsidP="00B56144">
      <w:pPr>
        <w:pStyle w:val="Default"/>
        <w:jc w:val="both"/>
        <w:rPr>
          <w:sz w:val="20"/>
          <w:szCs w:val="20"/>
        </w:rPr>
      </w:pPr>
    </w:p>
    <w:p w:rsidR="00EB4583" w:rsidRPr="008C65B3" w:rsidRDefault="00EB4583" w:rsidP="00B56144">
      <w:pPr>
        <w:pStyle w:val="Default"/>
        <w:jc w:val="both"/>
        <w:rPr>
          <w:sz w:val="20"/>
          <w:szCs w:val="20"/>
        </w:rPr>
      </w:pPr>
      <w:r w:rsidRPr="008C65B3">
        <w:rPr>
          <w:sz w:val="20"/>
          <w:szCs w:val="20"/>
        </w:rPr>
        <w:t>Faktor resiko prediabtes/diabetes</w:t>
      </w:r>
    </w:p>
    <w:p w:rsidR="00EB4583" w:rsidRPr="008C65B3" w:rsidRDefault="00EB4583" w:rsidP="00783553">
      <w:pPr>
        <w:pStyle w:val="HTMLPreformatted"/>
        <w:shd w:val="clear" w:color="auto" w:fill="F8F9FA"/>
        <w:jc w:val="both"/>
        <w:rPr>
          <w:rFonts w:ascii="Times New Roman" w:hAnsi="Times New Roman" w:cs="Times New Roman"/>
          <w:color w:val="222222"/>
          <w:lang w:val="id-ID"/>
        </w:rPr>
      </w:pPr>
      <w:r w:rsidRPr="008C65B3">
        <w:rPr>
          <w:rFonts w:ascii="Times New Roman" w:hAnsi="Times New Roman" w:cs="Times New Roman"/>
          <w:color w:val="222222"/>
          <w:lang w:val="id-ID"/>
        </w:rPr>
        <w:t>Korelasi ditunjukkan oleh kondisi hiperglikemia dan</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 xml:space="preserve">beberapa </w:t>
      </w:r>
      <w:r w:rsidRPr="008C65B3">
        <w:rPr>
          <w:rFonts w:ascii="Times New Roman" w:hAnsi="Times New Roman" w:cs="Times New Roman"/>
          <w:color w:val="222222"/>
        </w:rPr>
        <w:t xml:space="preserve">faktor resiko </w:t>
      </w:r>
      <w:r w:rsidRPr="008C65B3">
        <w:rPr>
          <w:rFonts w:ascii="Times New Roman" w:hAnsi="Times New Roman" w:cs="Times New Roman"/>
          <w:color w:val="222222"/>
          <w:lang w:val="id-ID"/>
        </w:rPr>
        <w:t xml:space="preserve">seperti, </w:t>
      </w:r>
      <w:r w:rsidRPr="008C65B3">
        <w:rPr>
          <w:rFonts w:ascii="Times New Roman" w:hAnsi="Times New Roman" w:cs="Times New Roman"/>
          <w:color w:val="222222"/>
        </w:rPr>
        <w:t xml:space="preserve">riwayat keturunan, pernah melahirkan &gt; 4 kg, mempunyai riwayat PCOS, riwayat asam urat, riwayat kolesterol dan mempunyai penyakit pembuluh darah. </w:t>
      </w:r>
      <w:r w:rsidRPr="008C65B3">
        <w:rPr>
          <w:rFonts w:ascii="Times New Roman" w:hAnsi="Times New Roman" w:cs="Times New Roman"/>
          <w:color w:val="222222"/>
          <w:lang w:val="id-ID"/>
        </w:rPr>
        <w:t>Berdasarkan analisis ini, kami memperoleh gambar yang</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mengungkapkan bahwa pre-diabetes / diabetes memiliki pengaruh yang signifikan</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hubungan dengan beberapa faktor risiko secara statistik (p &lt;0,05).</w:t>
      </w:r>
    </w:p>
    <w:p w:rsidR="00EB4583" w:rsidRPr="008C65B3" w:rsidRDefault="00EB4583" w:rsidP="00B56144">
      <w:pPr>
        <w:pStyle w:val="Default"/>
        <w:jc w:val="both"/>
        <w:rPr>
          <w:sz w:val="20"/>
          <w:szCs w:val="20"/>
        </w:rPr>
      </w:pPr>
    </w:p>
    <w:p w:rsidR="00B36E18" w:rsidRPr="008C65B3" w:rsidRDefault="00B36E18" w:rsidP="00B56144">
      <w:pPr>
        <w:pStyle w:val="Default"/>
        <w:jc w:val="both"/>
        <w:rPr>
          <w:sz w:val="20"/>
          <w:szCs w:val="20"/>
        </w:rPr>
      </w:pPr>
      <w:r w:rsidRPr="008C65B3">
        <w:rPr>
          <w:sz w:val="20"/>
          <w:szCs w:val="20"/>
        </w:rPr>
        <w:t>Tabel 7. Hubungan faktor resiko dengan prediabetes/diabetes di wilayah pegunungan</w:t>
      </w:r>
    </w:p>
    <w:p w:rsidR="000B690E" w:rsidRPr="008C65B3" w:rsidRDefault="000B690E" w:rsidP="00B56144">
      <w:pPr>
        <w:pStyle w:val="Default"/>
        <w:jc w:val="both"/>
        <w:rPr>
          <w:sz w:val="20"/>
          <w:szCs w:val="20"/>
        </w:rPr>
      </w:pPr>
    </w:p>
    <w:tbl>
      <w:tblPr>
        <w:tblStyle w:val="TableGrid"/>
        <w:tblW w:w="9351" w:type="dxa"/>
        <w:tblLayout w:type="fixed"/>
        <w:tblLook w:val="04A0"/>
      </w:tblPr>
      <w:tblGrid>
        <w:gridCol w:w="3085"/>
        <w:gridCol w:w="1276"/>
        <w:gridCol w:w="1134"/>
        <w:gridCol w:w="1134"/>
        <w:gridCol w:w="992"/>
        <w:gridCol w:w="709"/>
        <w:gridCol w:w="1021"/>
      </w:tblGrid>
      <w:tr w:rsidR="00EC6807" w:rsidRPr="008C65B3" w:rsidTr="00EC6807">
        <w:tc>
          <w:tcPr>
            <w:tcW w:w="3085" w:type="dxa"/>
            <w:vMerge w:val="restart"/>
            <w:tcBorders>
              <w:top w:val="single" w:sz="4" w:space="0" w:color="auto"/>
              <w:left w:val="nil"/>
              <w:right w:val="nil"/>
            </w:tcBorders>
            <w:vAlign w:val="center"/>
          </w:tcPr>
          <w:p w:rsidR="00EC6807" w:rsidRPr="008C65B3" w:rsidRDefault="00EC6807" w:rsidP="008437AA">
            <w:pPr>
              <w:pStyle w:val="Default"/>
              <w:jc w:val="center"/>
              <w:rPr>
                <w:sz w:val="20"/>
                <w:szCs w:val="20"/>
              </w:rPr>
            </w:pPr>
          </w:p>
        </w:tc>
        <w:tc>
          <w:tcPr>
            <w:tcW w:w="4536" w:type="dxa"/>
            <w:gridSpan w:val="4"/>
            <w:tcBorders>
              <w:top w:val="single" w:sz="4" w:space="0" w:color="auto"/>
              <w:left w:val="nil"/>
              <w:right w:val="nil"/>
            </w:tcBorders>
            <w:vAlign w:val="center"/>
          </w:tcPr>
          <w:p w:rsidR="00EC6807" w:rsidRPr="008C65B3" w:rsidRDefault="00006801" w:rsidP="008437AA">
            <w:pPr>
              <w:pStyle w:val="Default"/>
              <w:jc w:val="center"/>
              <w:rPr>
                <w:sz w:val="20"/>
                <w:szCs w:val="20"/>
              </w:rPr>
            </w:pPr>
            <w:r w:rsidRPr="008C65B3">
              <w:rPr>
                <w:sz w:val="20"/>
                <w:szCs w:val="20"/>
              </w:rPr>
              <w:t>K</w:t>
            </w:r>
            <w:r w:rsidR="00EC6807" w:rsidRPr="008C65B3">
              <w:rPr>
                <w:sz w:val="20"/>
                <w:szCs w:val="20"/>
              </w:rPr>
              <w:t>at</w:t>
            </w:r>
            <w:r w:rsidRPr="008C65B3">
              <w:rPr>
                <w:sz w:val="20"/>
                <w:szCs w:val="20"/>
              </w:rPr>
              <w:t>e</w:t>
            </w:r>
            <w:r w:rsidR="00EC6807" w:rsidRPr="008C65B3">
              <w:rPr>
                <w:sz w:val="20"/>
                <w:szCs w:val="20"/>
              </w:rPr>
              <w:t>gor</w:t>
            </w:r>
            <w:r w:rsidRPr="008C65B3">
              <w:rPr>
                <w:sz w:val="20"/>
                <w:szCs w:val="20"/>
              </w:rPr>
              <w:t>i</w:t>
            </w:r>
          </w:p>
        </w:tc>
        <w:tc>
          <w:tcPr>
            <w:tcW w:w="1730" w:type="dxa"/>
            <w:gridSpan w:val="2"/>
            <w:tcBorders>
              <w:left w:val="nil"/>
              <w:right w:val="nil"/>
            </w:tcBorders>
            <w:vAlign w:val="center"/>
          </w:tcPr>
          <w:p w:rsidR="00EC6807" w:rsidRPr="008C65B3" w:rsidRDefault="00EC6807" w:rsidP="00EC6807">
            <w:pPr>
              <w:pStyle w:val="Default"/>
              <w:jc w:val="center"/>
              <w:rPr>
                <w:sz w:val="20"/>
                <w:szCs w:val="20"/>
              </w:rPr>
            </w:pPr>
            <w:r w:rsidRPr="008C65B3">
              <w:rPr>
                <w:sz w:val="20"/>
                <w:szCs w:val="20"/>
              </w:rPr>
              <w:t>Total</w:t>
            </w:r>
          </w:p>
        </w:tc>
      </w:tr>
      <w:tr w:rsidR="00EC6807" w:rsidRPr="008C65B3" w:rsidTr="00EC6807">
        <w:tc>
          <w:tcPr>
            <w:tcW w:w="3085" w:type="dxa"/>
            <w:vMerge/>
            <w:tcBorders>
              <w:left w:val="nil"/>
              <w:right w:val="nil"/>
            </w:tcBorders>
          </w:tcPr>
          <w:p w:rsidR="00EC6807" w:rsidRPr="008C65B3" w:rsidRDefault="00EC6807" w:rsidP="00B56144">
            <w:pPr>
              <w:pStyle w:val="Default"/>
              <w:jc w:val="both"/>
              <w:rPr>
                <w:sz w:val="20"/>
                <w:szCs w:val="20"/>
              </w:rPr>
            </w:pPr>
          </w:p>
        </w:tc>
        <w:tc>
          <w:tcPr>
            <w:tcW w:w="2410" w:type="dxa"/>
            <w:gridSpan w:val="2"/>
            <w:tcBorders>
              <w:left w:val="nil"/>
              <w:right w:val="nil"/>
            </w:tcBorders>
            <w:vAlign w:val="center"/>
          </w:tcPr>
          <w:p w:rsidR="00EC6807" w:rsidRPr="008C65B3" w:rsidRDefault="00EC6807" w:rsidP="00676FC8">
            <w:pPr>
              <w:pStyle w:val="Default"/>
              <w:jc w:val="center"/>
              <w:rPr>
                <w:sz w:val="20"/>
                <w:szCs w:val="20"/>
              </w:rPr>
            </w:pPr>
            <w:r w:rsidRPr="008C65B3">
              <w:rPr>
                <w:sz w:val="20"/>
                <w:szCs w:val="20"/>
              </w:rPr>
              <w:t>Normal</w:t>
            </w:r>
          </w:p>
        </w:tc>
        <w:tc>
          <w:tcPr>
            <w:tcW w:w="2126" w:type="dxa"/>
            <w:gridSpan w:val="2"/>
            <w:tcBorders>
              <w:left w:val="nil"/>
              <w:right w:val="nil"/>
            </w:tcBorders>
          </w:tcPr>
          <w:p w:rsidR="00EC6807" w:rsidRPr="008C65B3" w:rsidRDefault="00EC6807" w:rsidP="00B56144">
            <w:pPr>
              <w:pStyle w:val="Default"/>
              <w:jc w:val="both"/>
              <w:rPr>
                <w:sz w:val="20"/>
                <w:szCs w:val="20"/>
              </w:rPr>
            </w:pPr>
            <w:r w:rsidRPr="008C65B3">
              <w:rPr>
                <w:sz w:val="20"/>
                <w:szCs w:val="20"/>
              </w:rPr>
              <w:t>Prediabet</w:t>
            </w:r>
            <w:r w:rsidR="00006801" w:rsidRPr="008C65B3">
              <w:rPr>
                <w:sz w:val="20"/>
                <w:szCs w:val="20"/>
              </w:rPr>
              <w:t>es</w:t>
            </w:r>
            <w:r w:rsidRPr="008C65B3">
              <w:rPr>
                <w:sz w:val="20"/>
                <w:szCs w:val="20"/>
              </w:rPr>
              <w:t xml:space="preserve"> /Diabet</w:t>
            </w:r>
            <w:r w:rsidR="00006801" w:rsidRPr="008C65B3">
              <w:rPr>
                <w:sz w:val="20"/>
                <w:szCs w:val="20"/>
              </w:rPr>
              <w:t>es</w:t>
            </w:r>
          </w:p>
        </w:tc>
        <w:tc>
          <w:tcPr>
            <w:tcW w:w="709" w:type="dxa"/>
            <w:vMerge w:val="restart"/>
            <w:tcBorders>
              <w:top w:val="nil"/>
              <w:left w:val="nil"/>
              <w:right w:val="nil"/>
            </w:tcBorders>
            <w:vAlign w:val="center"/>
          </w:tcPr>
          <w:p w:rsidR="00EC6807" w:rsidRPr="008C65B3" w:rsidRDefault="00EC6807" w:rsidP="00676FC8">
            <w:pPr>
              <w:pStyle w:val="Default"/>
              <w:jc w:val="center"/>
              <w:rPr>
                <w:sz w:val="20"/>
                <w:szCs w:val="20"/>
              </w:rPr>
            </w:pPr>
            <w:r w:rsidRPr="008C65B3">
              <w:rPr>
                <w:sz w:val="20"/>
                <w:szCs w:val="20"/>
              </w:rPr>
              <w:t>N</w:t>
            </w:r>
          </w:p>
        </w:tc>
        <w:tc>
          <w:tcPr>
            <w:tcW w:w="1021" w:type="dxa"/>
            <w:vMerge w:val="restart"/>
            <w:tcBorders>
              <w:top w:val="nil"/>
              <w:left w:val="nil"/>
              <w:right w:val="nil"/>
            </w:tcBorders>
            <w:vAlign w:val="center"/>
          </w:tcPr>
          <w:p w:rsidR="00EC6807" w:rsidRPr="008C65B3" w:rsidRDefault="00C10B77" w:rsidP="00676FC8">
            <w:pPr>
              <w:pStyle w:val="Default"/>
              <w:jc w:val="center"/>
              <w:rPr>
                <w:sz w:val="20"/>
                <w:szCs w:val="20"/>
              </w:rPr>
            </w:pPr>
            <w:r w:rsidRPr="008C65B3">
              <w:rPr>
                <w:bCs/>
                <w:i/>
                <w:iCs/>
                <w:sz w:val="20"/>
                <w:szCs w:val="20"/>
              </w:rPr>
              <w:t>p-value</w:t>
            </w:r>
          </w:p>
        </w:tc>
      </w:tr>
      <w:tr w:rsidR="00EC6807" w:rsidRPr="008C65B3" w:rsidTr="00EC6807">
        <w:tc>
          <w:tcPr>
            <w:tcW w:w="3085" w:type="dxa"/>
            <w:vMerge/>
            <w:tcBorders>
              <w:left w:val="nil"/>
              <w:right w:val="nil"/>
            </w:tcBorders>
          </w:tcPr>
          <w:p w:rsidR="00EC6807" w:rsidRPr="008C65B3" w:rsidRDefault="00EC6807" w:rsidP="00B56144">
            <w:pPr>
              <w:pStyle w:val="Default"/>
              <w:jc w:val="both"/>
              <w:rPr>
                <w:sz w:val="20"/>
                <w:szCs w:val="20"/>
              </w:rPr>
            </w:pPr>
          </w:p>
        </w:tc>
        <w:tc>
          <w:tcPr>
            <w:tcW w:w="1276" w:type="dxa"/>
            <w:tcBorders>
              <w:left w:val="nil"/>
              <w:right w:val="nil"/>
            </w:tcBorders>
            <w:vAlign w:val="center"/>
          </w:tcPr>
          <w:p w:rsidR="00EC6807" w:rsidRPr="008C65B3" w:rsidRDefault="00EC6807" w:rsidP="00676FC8">
            <w:pPr>
              <w:pStyle w:val="Default"/>
              <w:jc w:val="center"/>
              <w:rPr>
                <w:sz w:val="20"/>
                <w:szCs w:val="20"/>
              </w:rPr>
            </w:pPr>
            <w:r w:rsidRPr="008C65B3">
              <w:rPr>
                <w:sz w:val="20"/>
                <w:szCs w:val="20"/>
              </w:rPr>
              <w:t>n</w:t>
            </w:r>
          </w:p>
        </w:tc>
        <w:tc>
          <w:tcPr>
            <w:tcW w:w="1134" w:type="dxa"/>
            <w:tcBorders>
              <w:left w:val="nil"/>
              <w:right w:val="nil"/>
            </w:tcBorders>
            <w:vAlign w:val="center"/>
          </w:tcPr>
          <w:p w:rsidR="00EC6807" w:rsidRPr="008C65B3" w:rsidRDefault="00EC6807" w:rsidP="00676FC8">
            <w:pPr>
              <w:pStyle w:val="Default"/>
              <w:jc w:val="center"/>
              <w:rPr>
                <w:sz w:val="20"/>
                <w:szCs w:val="20"/>
              </w:rPr>
            </w:pPr>
            <w:r w:rsidRPr="008C65B3">
              <w:rPr>
                <w:sz w:val="20"/>
                <w:szCs w:val="20"/>
              </w:rPr>
              <w:t>%</w:t>
            </w:r>
          </w:p>
        </w:tc>
        <w:tc>
          <w:tcPr>
            <w:tcW w:w="1134" w:type="dxa"/>
            <w:tcBorders>
              <w:top w:val="nil"/>
              <w:left w:val="nil"/>
              <w:right w:val="nil"/>
            </w:tcBorders>
            <w:vAlign w:val="center"/>
          </w:tcPr>
          <w:p w:rsidR="00EC6807" w:rsidRPr="008C65B3" w:rsidRDefault="00EC6807" w:rsidP="00676FC8">
            <w:pPr>
              <w:pStyle w:val="Default"/>
              <w:jc w:val="center"/>
              <w:rPr>
                <w:sz w:val="20"/>
                <w:szCs w:val="20"/>
              </w:rPr>
            </w:pPr>
            <w:r w:rsidRPr="008C65B3">
              <w:rPr>
                <w:sz w:val="20"/>
                <w:szCs w:val="20"/>
              </w:rPr>
              <w:t>n</w:t>
            </w:r>
          </w:p>
        </w:tc>
        <w:tc>
          <w:tcPr>
            <w:tcW w:w="992" w:type="dxa"/>
            <w:tcBorders>
              <w:top w:val="nil"/>
              <w:left w:val="nil"/>
              <w:right w:val="nil"/>
            </w:tcBorders>
            <w:vAlign w:val="center"/>
          </w:tcPr>
          <w:p w:rsidR="00EC6807" w:rsidRPr="008C65B3" w:rsidRDefault="00EC6807" w:rsidP="00EC6807">
            <w:pPr>
              <w:pStyle w:val="Default"/>
              <w:jc w:val="center"/>
              <w:rPr>
                <w:sz w:val="20"/>
                <w:szCs w:val="20"/>
              </w:rPr>
            </w:pPr>
            <w:r w:rsidRPr="008C65B3">
              <w:rPr>
                <w:sz w:val="20"/>
                <w:szCs w:val="20"/>
              </w:rPr>
              <w:t>%</w:t>
            </w:r>
          </w:p>
        </w:tc>
        <w:tc>
          <w:tcPr>
            <w:tcW w:w="709" w:type="dxa"/>
            <w:vMerge/>
            <w:tcBorders>
              <w:left w:val="nil"/>
              <w:right w:val="nil"/>
            </w:tcBorders>
            <w:vAlign w:val="center"/>
          </w:tcPr>
          <w:p w:rsidR="00EC6807" w:rsidRPr="008C65B3" w:rsidRDefault="00EC6807" w:rsidP="00676FC8">
            <w:pPr>
              <w:pStyle w:val="Default"/>
              <w:jc w:val="center"/>
              <w:rPr>
                <w:sz w:val="20"/>
                <w:szCs w:val="20"/>
              </w:rPr>
            </w:pPr>
          </w:p>
        </w:tc>
        <w:tc>
          <w:tcPr>
            <w:tcW w:w="1021" w:type="dxa"/>
            <w:vMerge/>
            <w:tcBorders>
              <w:left w:val="nil"/>
              <w:right w:val="nil"/>
            </w:tcBorders>
          </w:tcPr>
          <w:p w:rsidR="00EC6807" w:rsidRPr="008C65B3" w:rsidRDefault="00EC6807" w:rsidP="00B56144">
            <w:pPr>
              <w:pStyle w:val="Default"/>
              <w:jc w:val="both"/>
              <w:rPr>
                <w:sz w:val="20"/>
                <w:szCs w:val="20"/>
              </w:rPr>
            </w:pPr>
          </w:p>
        </w:tc>
      </w:tr>
    </w:tbl>
    <w:p w:rsidR="001351DE" w:rsidRPr="008C65B3" w:rsidRDefault="001351DE" w:rsidP="00B56144">
      <w:pPr>
        <w:pStyle w:val="Default"/>
        <w:jc w:val="both"/>
        <w:rPr>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1118"/>
        <w:gridCol w:w="1126"/>
        <w:gridCol w:w="981"/>
        <w:gridCol w:w="1126"/>
        <w:gridCol w:w="751"/>
        <w:gridCol w:w="938"/>
      </w:tblGrid>
      <w:tr w:rsidR="009B1C3E" w:rsidRPr="008C65B3" w:rsidTr="009178AE">
        <w:tc>
          <w:tcPr>
            <w:tcW w:w="3231" w:type="dxa"/>
          </w:tcPr>
          <w:p w:rsidR="007E3AF4" w:rsidRPr="008C65B3" w:rsidRDefault="007E3AF4" w:rsidP="00B56144">
            <w:pPr>
              <w:pStyle w:val="Default"/>
              <w:jc w:val="both"/>
              <w:rPr>
                <w:sz w:val="20"/>
                <w:szCs w:val="20"/>
              </w:rPr>
            </w:pPr>
            <w:r w:rsidRPr="008C65B3">
              <w:rPr>
                <w:sz w:val="20"/>
                <w:szCs w:val="20"/>
              </w:rPr>
              <w:t>Riwayat keturunan       Tidak</w:t>
            </w:r>
          </w:p>
          <w:p w:rsidR="007E3AF4" w:rsidRPr="008C65B3" w:rsidRDefault="007E3AF4" w:rsidP="00B56144">
            <w:pPr>
              <w:pStyle w:val="Default"/>
              <w:jc w:val="both"/>
              <w:rPr>
                <w:sz w:val="20"/>
                <w:szCs w:val="20"/>
              </w:rPr>
            </w:pPr>
            <w:r w:rsidRPr="008C65B3">
              <w:rPr>
                <w:sz w:val="20"/>
                <w:szCs w:val="20"/>
              </w:rPr>
              <w:t xml:space="preserve">                                      Ya</w:t>
            </w:r>
          </w:p>
          <w:p w:rsidR="007E3AF4" w:rsidRPr="008C65B3" w:rsidRDefault="007E3AF4" w:rsidP="00B56144">
            <w:pPr>
              <w:pStyle w:val="Default"/>
              <w:jc w:val="both"/>
              <w:rPr>
                <w:sz w:val="20"/>
                <w:szCs w:val="20"/>
              </w:rPr>
            </w:pPr>
          </w:p>
        </w:tc>
        <w:tc>
          <w:tcPr>
            <w:tcW w:w="1134" w:type="dxa"/>
          </w:tcPr>
          <w:p w:rsidR="009B1C3E" w:rsidRPr="008C65B3" w:rsidRDefault="00976F33" w:rsidP="00B56144">
            <w:pPr>
              <w:pStyle w:val="Default"/>
              <w:jc w:val="both"/>
              <w:rPr>
                <w:sz w:val="20"/>
                <w:szCs w:val="20"/>
              </w:rPr>
            </w:pPr>
            <w:r w:rsidRPr="008C65B3">
              <w:rPr>
                <w:sz w:val="20"/>
                <w:szCs w:val="20"/>
              </w:rPr>
              <w:t>4</w:t>
            </w:r>
          </w:p>
          <w:p w:rsidR="00976F33" w:rsidRPr="008C65B3" w:rsidRDefault="00976F33" w:rsidP="00B56144">
            <w:pPr>
              <w:pStyle w:val="Default"/>
              <w:jc w:val="both"/>
              <w:rPr>
                <w:sz w:val="20"/>
                <w:szCs w:val="20"/>
              </w:rPr>
            </w:pPr>
            <w:r w:rsidRPr="008C65B3">
              <w:rPr>
                <w:sz w:val="20"/>
                <w:szCs w:val="20"/>
              </w:rPr>
              <w:t>1</w:t>
            </w:r>
          </w:p>
        </w:tc>
        <w:tc>
          <w:tcPr>
            <w:tcW w:w="1134" w:type="dxa"/>
          </w:tcPr>
          <w:p w:rsidR="009B1C3E" w:rsidRPr="008C65B3" w:rsidRDefault="00976F33" w:rsidP="00B56144">
            <w:pPr>
              <w:pStyle w:val="Default"/>
              <w:jc w:val="both"/>
              <w:rPr>
                <w:sz w:val="20"/>
                <w:szCs w:val="20"/>
              </w:rPr>
            </w:pPr>
            <w:r w:rsidRPr="008C65B3">
              <w:rPr>
                <w:sz w:val="20"/>
                <w:szCs w:val="20"/>
              </w:rPr>
              <w:t>13,3</w:t>
            </w:r>
          </w:p>
          <w:p w:rsidR="00976F33" w:rsidRPr="008C65B3" w:rsidRDefault="00976F33" w:rsidP="00B56144">
            <w:pPr>
              <w:pStyle w:val="Default"/>
              <w:jc w:val="both"/>
              <w:rPr>
                <w:sz w:val="20"/>
                <w:szCs w:val="20"/>
              </w:rPr>
            </w:pPr>
            <w:r w:rsidRPr="008C65B3">
              <w:rPr>
                <w:sz w:val="20"/>
                <w:szCs w:val="20"/>
              </w:rPr>
              <w:t>3,3</w:t>
            </w:r>
          </w:p>
        </w:tc>
        <w:tc>
          <w:tcPr>
            <w:tcW w:w="992" w:type="dxa"/>
          </w:tcPr>
          <w:p w:rsidR="009B1C3E" w:rsidRPr="008C65B3" w:rsidRDefault="00FE4F52" w:rsidP="00B56144">
            <w:pPr>
              <w:pStyle w:val="Default"/>
              <w:jc w:val="both"/>
              <w:rPr>
                <w:sz w:val="20"/>
                <w:szCs w:val="20"/>
              </w:rPr>
            </w:pPr>
            <w:r w:rsidRPr="008C65B3">
              <w:rPr>
                <w:sz w:val="20"/>
                <w:szCs w:val="20"/>
              </w:rPr>
              <w:t>24</w:t>
            </w:r>
          </w:p>
          <w:p w:rsidR="009C7083" w:rsidRPr="008C65B3" w:rsidRDefault="009C7083" w:rsidP="00B56144">
            <w:pPr>
              <w:pStyle w:val="Default"/>
              <w:jc w:val="both"/>
              <w:rPr>
                <w:sz w:val="20"/>
                <w:szCs w:val="20"/>
              </w:rPr>
            </w:pPr>
            <w:r w:rsidRPr="008C65B3">
              <w:rPr>
                <w:sz w:val="20"/>
                <w:szCs w:val="20"/>
              </w:rPr>
              <w:t>1</w:t>
            </w:r>
          </w:p>
        </w:tc>
        <w:tc>
          <w:tcPr>
            <w:tcW w:w="1134" w:type="dxa"/>
          </w:tcPr>
          <w:p w:rsidR="009B1C3E" w:rsidRPr="008C65B3" w:rsidRDefault="009C7083" w:rsidP="00B56144">
            <w:pPr>
              <w:pStyle w:val="Default"/>
              <w:jc w:val="both"/>
              <w:rPr>
                <w:sz w:val="20"/>
                <w:szCs w:val="20"/>
              </w:rPr>
            </w:pPr>
            <w:r w:rsidRPr="008C65B3">
              <w:rPr>
                <w:sz w:val="20"/>
                <w:szCs w:val="20"/>
              </w:rPr>
              <w:t>80%</w:t>
            </w:r>
          </w:p>
          <w:p w:rsidR="009C7083" w:rsidRPr="008C65B3" w:rsidRDefault="009C7083" w:rsidP="00B56144">
            <w:pPr>
              <w:pStyle w:val="Default"/>
              <w:jc w:val="both"/>
              <w:rPr>
                <w:sz w:val="20"/>
                <w:szCs w:val="20"/>
              </w:rPr>
            </w:pPr>
            <w:r w:rsidRPr="008C65B3">
              <w:rPr>
                <w:sz w:val="20"/>
                <w:szCs w:val="20"/>
              </w:rPr>
              <w:t>3,3%</w:t>
            </w:r>
          </w:p>
        </w:tc>
        <w:tc>
          <w:tcPr>
            <w:tcW w:w="758" w:type="dxa"/>
          </w:tcPr>
          <w:p w:rsidR="009B1C3E" w:rsidRPr="008C65B3" w:rsidRDefault="00727AD9" w:rsidP="00B56144">
            <w:pPr>
              <w:pStyle w:val="Default"/>
              <w:jc w:val="both"/>
              <w:rPr>
                <w:sz w:val="20"/>
                <w:szCs w:val="20"/>
              </w:rPr>
            </w:pPr>
            <w:r w:rsidRPr="008C65B3">
              <w:rPr>
                <w:sz w:val="20"/>
                <w:szCs w:val="20"/>
              </w:rPr>
              <w:t>28</w:t>
            </w:r>
          </w:p>
          <w:p w:rsidR="00727AD9" w:rsidRPr="008C65B3" w:rsidRDefault="00727AD9" w:rsidP="00B56144">
            <w:pPr>
              <w:pStyle w:val="Default"/>
              <w:jc w:val="both"/>
              <w:rPr>
                <w:sz w:val="20"/>
                <w:szCs w:val="20"/>
              </w:rPr>
            </w:pPr>
            <w:r w:rsidRPr="008C65B3">
              <w:rPr>
                <w:sz w:val="20"/>
                <w:szCs w:val="20"/>
              </w:rPr>
              <w:t>2</w:t>
            </w:r>
          </w:p>
        </w:tc>
        <w:tc>
          <w:tcPr>
            <w:tcW w:w="943" w:type="dxa"/>
          </w:tcPr>
          <w:p w:rsidR="009B1C3E" w:rsidRPr="008C65B3" w:rsidRDefault="00C10B77" w:rsidP="00B56144">
            <w:pPr>
              <w:pStyle w:val="Default"/>
              <w:jc w:val="both"/>
              <w:rPr>
                <w:sz w:val="20"/>
                <w:szCs w:val="20"/>
              </w:rPr>
            </w:pPr>
            <w:r w:rsidRPr="008C65B3">
              <w:rPr>
                <w:sz w:val="20"/>
                <w:szCs w:val="20"/>
              </w:rPr>
              <w:t>0</w:t>
            </w:r>
            <w:r w:rsidR="00BF1312" w:rsidRPr="008C65B3">
              <w:rPr>
                <w:sz w:val="20"/>
                <w:szCs w:val="20"/>
              </w:rPr>
              <w:t>,190</w:t>
            </w:r>
          </w:p>
          <w:p w:rsidR="00BF1312" w:rsidRPr="008C65B3" w:rsidRDefault="00BF1312" w:rsidP="00B56144">
            <w:pPr>
              <w:pStyle w:val="Default"/>
              <w:jc w:val="both"/>
              <w:rPr>
                <w:sz w:val="20"/>
                <w:szCs w:val="20"/>
              </w:rPr>
            </w:pPr>
          </w:p>
          <w:p w:rsidR="00BF1312" w:rsidRPr="008C65B3" w:rsidRDefault="00BF1312" w:rsidP="00B56144">
            <w:pPr>
              <w:pStyle w:val="Default"/>
              <w:jc w:val="both"/>
              <w:rPr>
                <w:sz w:val="20"/>
                <w:szCs w:val="20"/>
              </w:rPr>
            </w:pPr>
          </w:p>
        </w:tc>
      </w:tr>
      <w:tr w:rsidR="009B1C3E" w:rsidRPr="008C65B3" w:rsidTr="009178AE">
        <w:tc>
          <w:tcPr>
            <w:tcW w:w="3231" w:type="dxa"/>
          </w:tcPr>
          <w:p w:rsidR="009B1C3E" w:rsidRPr="008C65B3" w:rsidRDefault="007E3AF4" w:rsidP="00B56144">
            <w:pPr>
              <w:pStyle w:val="Default"/>
              <w:jc w:val="both"/>
              <w:rPr>
                <w:sz w:val="20"/>
                <w:szCs w:val="20"/>
              </w:rPr>
            </w:pPr>
            <w:r w:rsidRPr="008C65B3">
              <w:rPr>
                <w:sz w:val="20"/>
                <w:szCs w:val="20"/>
              </w:rPr>
              <w:t>Melahirkan &gt; 4 kg        Tidak</w:t>
            </w:r>
          </w:p>
          <w:p w:rsidR="007E3AF4" w:rsidRPr="008C65B3" w:rsidRDefault="007E3AF4" w:rsidP="00B56144">
            <w:pPr>
              <w:pStyle w:val="Default"/>
              <w:jc w:val="both"/>
              <w:rPr>
                <w:sz w:val="20"/>
                <w:szCs w:val="20"/>
              </w:rPr>
            </w:pPr>
            <w:r w:rsidRPr="008C65B3">
              <w:rPr>
                <w:sz w:val="20"/>
                <w:szCs w:val="20"/>
              </w:rPr>
              <w:t xml:space="preserve">                                     Ya</w:t>
            </w:r>
          </w:p>
          <w:p w:rsidR="009178AE" w:rsidRPr="008C65B3" w:rsidRDefault="009178AE" w:rsidP="00B56144">
            <w:pPr>
              <w:pStyle w:val="Default"/>
              <w:jc w:val="both"/>
              <w:rPr>
                <w:sz w:val="20"/>
                <w:szCs w:val="20"/>
              </w:rPr>
            </w:pPr>
          </w:p>
        </w:tc>
        <w:tc>
          <w:tcPr>
            <w:tcW w:w="1134" w:type="dxa"/>
          </w:tcPr>
          <w:p w:rsidR="009B1C3E" w:rsidRPr="008C65B3" w:rsidRDefault="009C7083" w:rsidP="00B56144">
            <w:pPr>
              <w:pStyle w:val="Default"/>
              <w:jc w:val="both"/>
              <w:rPr>
                <w:sz w:val="20"/>
                <w:szCs w:val="20"/>
              </w:rPr>
            </w:pPr>
            <w:r w:rsidRPr="008C65B3">
              <w:rPr>
                <w:sz w:val="20"/>
                <w:szCs w:val="20"/>
              </w:rPr>
              <w:t>4</w:t>
            </w:r>
          </w:p>
          <w:p w:rsidR="009C7083" w:rsidRPr="008C65B3" w:rsidRDefault="009C7083" w:rsidP="00B56144">
            <w:pPr>
              <w:pStyle w:val="Default"/>
              <w:jc w:val="both"/>
              <w:rPr>
                <w:sz w:val="20"/>
                <w:szCs w:val="20"/>
              </w:rPr>
            </w:pPr>
            <w:r w:rsidRPr="008C65B3">
              <w:rPr>
                <w:sz w:val="20"/>
                <w:szCs w:val="20"/>
              </w:rPr>
              <w:t>1</w:t>
            </w:r>
          </w:p>
        </w:tc>
        <w:tc>
          <w:tcPr>
            <w:tcW w:w="1134" w:type="dxa"/>
          </w:tcPr>
          <w:p w:rsidR="009B1C3E" w:rsidRPr="008C65B3" w:rsidRDefault="00E41EE7" w:rsidP="00B56144">
            <w:pPr>
              <w:pStyle w:val="Default"/>
              <w:jc w:val="both"/>
              <w:rPr>
                <w:sz w:val="20"/>
                <w:szCs w:val="20"/>
              </w:rPr>
            </w:pPr>
            <w:r w:rsidRPr="008C65B3">
              <w:rPr>
                <w:sz w:val="20"/>
                <w:szCs w:val="20"/>
              </w:rPr>
              <w:t>13,3%</w:t>
            </w:r>
          </w:p>
          <w:p w:rsidR="00E41EE7" w:rsidRPr="008C65B3" w:rsidRDefault="00E41EE7" w:rsidP="00B56144">
            <w:pPr>
              <w:pStyle w:val="Default"/>
              <w:jc w:val="both"/>
              <w:rPr>
                <w:sz w:val="20"/>
                <w:szCs w:val="20"/>
              </w:rPr>
            </w:pPr>
            <w:r w:rsidRPr="008C65B3">
              <w:rPr>
                <w:sz w:val="20"/>
                <w:szCs w:val="20"/>
              </w:rPr>
              <w:t>3,3%</w:t>
            </w:r>
          </w:p>
        </w:tc>
        <w:tc>
          <w:tcPr>
            <w:tcW w:w="992" w:type="dxa"/>
          </w:tcPr>
          <w:p w:rsidR="009B1C3E" w:rsidRPr="008C65B3" w:rsidRDefault="00E41EE7" w:rsidP="00B56144">
            <w:pPr>
              <w:pStyle w:val="Default"/>
              <w:jc w:val="both"/>
              <w:rPr>
                <w:sz w:val="20"/>
                <w:szCs w:val="20"/>
              </w:rPr>
            </w:pPr>
            <w:r w:rsidRPr="008C65B3">
              <w:rPr>
                <w:sz w:val="20"/>
                <w:szCs w:val="20"/>
              </w:rPr>
              <w:t>25</w:t>
            </w:r>
          </w:p>
          <w:p w:rsidR="00E41EE7" w:rsidRPr="008C65B3" w:rsidRDefault="00E41EE7" w:rsidP="00B56144">
            <w:pPr>
              <w:pStyle w:val="Default"/>
              <w:jc w:val="both"/>
              <w:rPr>
                <w:sz w:val="20"/>
                <w:szCs w:val="20"/>
              </w:rPr>
            </w:pPr>
            <w:r w:rsidRPr="008C65B3">
              <w:rPr>
                <w:sz w:val="20"/>
                <w:szCs w:val="20"/>
              </w:rPr>
              <w:t>0</w:t>
            </w:r>
          </w:p>
        </w:tc>
        <w:tc>
          <w:tcPr>
            <w:tcW w:w="1134" w:type="dxa"/>
          </w:tcPr>
          <w:p w:rsidR="009B1C3E" w:rsidRPr="008C65B3" w:rsidRDefault="00727AD9" w:rsidP="00B56144">
            <w:pPr>
              <w:pStyle w:val="Default"/>
              <w:jc w:val="both"/>
              <w:rPr>
                <w:sz w:val="20"/>
                <w:szCs w:val="20"/>
              </w:rPr>
            </w:pPr>
            <w:r w:rsidRPr="008C65B3">
              <w:rPr>
                <w:sz w:val="20"/>
                <w:szCs w:val="20"/>
              </w:rPr>
              <w:t>83,3%</w:t>
            </w:r>
          </w:p>
          <w:p w:rsidR="00727AD9" w:rsidRPr="008C65B3" w:rsidRDefault="00727AD9" w:rsidP="00B56144">
            <w:pPr>
              <w:pStyle w:val="Default"/>
              <w:jc w:val="both"/>
              <w:rPr>
                <w:sz w:val="20"/>
                <w:szCs w:val="20"/>
              </w:rPr>
            </w:pPr>
            <w:r w:rsidRPr="008C65B3">
              <w:rPr>
                <w:sz w:val="20"/>
                <w:szCs w:val="20"/>
              </w:rPr>
              <w:t>0%</w:t>
            </w:r>
          </w:p>
        </w:tc>
        <w:tc>
          <w:tcPr>
            <w:tcW w:w="758" w:type="dxa"/>
          </w:tcPr>
          <w:p w:rsidR="009B1C3E" w:rsidRPr="008C65B3" w:rsidRDefault="00727AD9" w:rsidP="00B56144">
            <w:pPr>
              <w:pStyle w:val="Default"/>
              <w:jc w:val="both"/>
              <w:rPr>
                <w:sz w:val="20"/>
                <w:szCs w:val="20"/>
              </w:rPr>
            </w:pPr>
            <w:r w:rsidRPr="008C65B3">
              <w:rPr>
                <w:sz w:val="20"/>
                <w:szCs w:val="20"/>
              </w:rPr>
              <w:t>29</w:t>
            </w:r>
            <w:r w:rsidR="00BF1312" w:rsidRPr="008C65B3">
              <w:rPr>
                <w:sz w:val="20"/>
                <w:szCs w:val="20"/>
              </w:rPr>
              <w:t xml:space="preserve">        </w:t>
            </w:r>
          </w:p>
          <w:p w:rsidR="00727AD9" w:rsidRPr="008C65B3" w:rsidRDefault="00727AD9" w:rsidP="00B56144">
            <w:pPr>
              <w:pStyle w:val="Default"/>
              <w:jc w:val="both"/>
              <w:rPr>
                <w:sz w:val="20"/>
                <w:szCs w:val="20"/>
              </w:rPr>
            </w:pPr>
            <w:r w:rsidRPr="008C65B3">
              <w:rPr>
                <w:sz w:val="20"/>
                <w:szCs w:val="20"/>
              </w:rPr>
              <w:t>1</w:t>
            </w:r>
          </w:p>
        </w:tc>
        <w:tc>
          <w:tcPr>
            <w:tcW w:w="943" w:type="dxa"/>
          </w:tcPr>
          <w:p w:rsidR="009B1C3E" w:rsidRPr="008C65B3" w:rsidRDefault="00BF1312" w:rsidP="00B56144">
            <w:pPr>
              <w:pStyle w:val="Default"/>
              <w:jc w:val="both"/>
              <w:rPr>
                <w:sz w:val="20"/>
                <w:szCs w:val="20"/>
              </w:rPr>
            </w:pPr>
            <w:r w:rsidRPr="008C65B3">
              <w:rPr>
                <w:sz w:val="20"/>
                <w:szCs w:val="20"/>
              </w:rPr>
              <w:t>0,023</w:t>
            </w:r>
          </w:p>
        </w:tc>
      </w:tr>
      <w:tr w:rsidR="009B1C3E" w:rsidRPr="008C65B3" w:rsidTr="009178AE">
        <w:tc>
          <w:tcPr>
            <w:tcW w:w="3231" w:type="dxa"/>
          </w:tcPr>
          <w:p w:rsidR="009B1C3E" w:rsidRPr="008C65B3" w:rsidRDefault="007E3AF4" w:rsidP="00B56144">
            <w:pPr>
              <w:pStyle w:val="Default"/>
              <w:jc w:val="both"/>
              <w:rPr>
                <w:sz w:val="20"/>
                <w:szCs w:val="20"/>
              </w:rPr>
            </w:pPr>
            <w:r w:rsidRPr="008C65B3">
              <w:rPr>
                <w:sz w:val="20"/>
                <w:szCs w:val="20"/>
              </w:rPr>
              <w:t>Riwayat PCOS             Tidak</w:t>
            </w:r>
          </w:p>
          <w:p w:rsidR="007E3AF4" w:rsidRPr="008C65B3" w:rsidRDefault="007E3AF4" w:rsidP="00B56144">
            <w:pPr>
              <w:pStyle w:val="Default"/>
              <w:jc w:val="both"/>
              <w:rPr>
                <w:sz w:val="20"/>
                <w:szCs w:val="20"/>
              </w:rPr>
            </w:pPr>
            <w:r w:rsidRPr="008C65B3">
              <w:rPr>
                <w:sz w:val="20"/>
                <w:szCs w:val="20"/>
              </w:rPr>
              <w:t xml:space="preserve">                                     Ya</w:t>
            </w:r>
          </w:p>
          <w:p w:rsidR="009178AE" w:rsidRPr="008C65B3" w:rsidRDefault="009178AE" w:rsidP="00B56144">
            <w:pPr>
              <w:pStyle w:val="Default"/>
              <w:jc w:val="both"/>
              <w:rPr>
                <w:sz w:val="20"/>
                <w:szCs w:val="20"/>
              </w:rPr>
            </w:pPr>
          </w:p>
        </w:tc>
        <w:tc>
          <w:tcPr>
            <w:tcW w:w="1134" w:type="dxa"/>
          </w:tcPr>
          <w:p w:rsidR="009B1C3E" w:rsidRPr="008C65B3" w:rsidRDefault="00783553" w:rsidP="00B56144">
            <w:pPr>
              <w:pStyle w:val="Default"/>
              <w:jc w:val="both"/>
              <w:rPr>
                <w:sz w:val="20"/>
                <w:szCs w:val="20"/>
              </w:rPr>
            </w:pPr>
            <w:r w:rsidRPr="008C65B3">
              <w:rPr>
                <w:sz w:val="20"/>
                <w:szCs w:val="20"/>
              </w:rPr>
              <w:t>5</w:t>
            </w:r>
          </w:p>
          <w:p w:rsidR="009C7083" w:rsidRPr="008C65B3" w:rsidRDefault="00783553" w:rsidP="00B56144">
            <w:pPr>
              <w:pStyle w:val="Default"/>
              <w:jc w:val="both"/>
              <w:rPr>
                <w:sz w:val="20"/>
                <w:szCs w:val="20"/>
              </w:rPr>
            </w:pPr>
            <w:r w:rsidRPr="008C65B3">
              <w:rPr>
                <w:sz w:val="20"/>
                <w:szCs w:val="20"/>
              </w:rPr>
              <w:t>0</w:t>
            </w:r>
          </w:p>
        </w:tc>
        <w:tc>
          <w:tcPr>
            <w:tcW w:w="1134" w:type="dxa"/>
          </w:tcPr>
          <w:p w:rsidR="009B1C3E" w:rsidRPr="008C65B3" w:rsidRDefault="00783553" w:rsidP="00B56144">
            <w:pPr>
              <w:pStyle w:val="Default"/>
              <w:jc w:val="both"/>
              <w:rPr>
                <w:sz w:val="20"/>
                <w:szCs w:val="20"/>
              </w:rPr>
            </w:pPr>
            <w:r w:rsidRPr="008C65B3">
              <w:rPr>
                <w:sz w:val="20"/>
                <w:szCs w:val="20"/>
              </w:rPr>
              <w:t>16,7</w:t>
            </w:r>
            <w:r w:rsidR="00E41EE7" w:rsidRPr="008C65B3">
              <w:rPr>
                <w:sz w:val="20"/>
                <w:szCs w:val="20"/>
              </w:rPr>
              <w:t>%</w:t>
            </w:r>
          </w:p>
          <w:p w:rsidR="00E41EE7" w:rsidRPr="008C65B3" w:rsidRDefault="00783553" w:rsidP="00B56144">
            <w:pPr>
              <w:pStyle w:val="Default"/>
              <w:jc w:val="both"/>
              <w:rPr>
                <w:sz w:val="20"/>
                <w:szCs w:val="20"/>
              </w:rPr>
            </w:pPr>
            <w:r w:rsidRPr="008C65B3">
              <w:rPr>
                <w:sz w:val="20"/>
                <w:szCs w:val="20"/>
              </w:rPr>
              <w:t>0</w:t>
            </w:r>
            <w:r w:rsidR="00E41EE7" w:rsidRPr="008C65B3">
              <w:rPr>
                <w:sz w:val="20"/>
                <w:szCs w:val="20"/>
              </w:rPr>
              <w:t>%</w:t>
            </w:r>
          </w:p>
        </w:tc>
        <w:tc>
          <w:tcPr>
            <w:tcW w:w="992" w:type="dxa"/>
          </w:tcPr>
          <w:p w:rsidR="009B1C3E" w:rsidRPr="008C65B3" w:rsidRDefault="00783553" w:rsidP="00B56144">
            <w:pPr>
              <w:pStyle w:val="Default"/>
              <w:jc w:val="both"/>
              <w:rPr>
                <w:sz w:val="20"/>
                <w:szCs w:val="20"/>
              </w:rPr>
            </w:pPr>
            <w:r w:rsidRPr="008C65B3">
              <w:rPr>
                <w:sz w:val="20"/>
                <w:szCs w:val="20"/>
              </w:rPr>
              <w:t>25</w:t>
            </w:r>
          </w:p>
          <w:p w:rsidR="00E41EE7" w:rsidRPr="008C65B3" w:rsidRDefault="00783553" w:rsidP="00B56144">
            <w:pPr>
              <w:pStyle w:val="Default"/>
              <w:jc w:val="both"/>
              <w:rPr>
                <w:sz w:val="20"/>
                <w:szCs w:val="20"/>
              </w:rPr>
            </w:pPr>
            <w:r w:rsidRPr="008C65B3">
              <w:rPr>
                <w:sz w:val="20"/>
                <w:szCs w:val="20"/>
              </w:rPr>
              <w:t>0</w:t>
            </w:r>
          </w:p>
        </w:tc>
        <w:tc>
          <w:tcPr>
            <w:tcW w:w="1134" w:type="dxa"/>
          </w:tcPr>
          <w:p w:rsidR="009B1C3E" w:rsidRPr="008C65B3" w:rsidRDefault="00783553" w:rsidP="00B56144">
            <w:pPr>
              <w:pStyle w:val="Default"/>
              <w:jc w:val="both"/>
              <w:rPr>
                <w:sz w:val="20"/>
                <w:szCs w:val="20"/>
              </w:rPr>
            </w:pPr>
            <w:r w:rsidRPr="008C65B3">
              <w:rPr>
                <w:sz w:val="20"/>
                <w:szCs w:val="20"/>
              </w:rPr>
              <w:t>83,3</w:t>
            </w:r>
            <w:r w:rsidR="00727AD9" w:rsidRPr="008C65B3">
              <w:rPr>
                <w:sz w:val="20"/>
                <w:szCs w:val="20"/>
              </w:rPr>
              <w:t>%</w:t>
            </w:r>
          </w:p>
          <w:p w:rsidR="00727AD9" w:rsidRPr="008C65B3" w:rsidRDefault="00783553" w:rsidP="00B56144">
            <w:pPr>
              <w:pStyle w:val="Default"/>
              <w:jc w:val="both"/>
              <w:rPr>
                <w:sz w:val="20"/>
                <w:szCs w:val="20"/>
              </w:rPr>
            </w:pPr>
            <w:r w:rsidRPr="008C65B3">
              <w:rPr>
                <w:sz w:val="20"/>
                <w:szCs w:val="20"/>
              </w:rPr>
              <w:t>0</w:t>
            </w:r>
            <w:r w:rsidR="00727AD9" w:rsidRPr="008C65B3">
              <w:rPr>
                <w:sz w:val="20"/>
                <w:szCs w:val="20"/>
              </w:rPr>
              <w:t>%</w:t>
            </w:r>
          </w:p>
        </w:tc>
        <w:tc>
          <w:tcPr>
            <w:tcW w:w="758" w:type="dxa"/>
          </w:tcPr>
          <w:p w:rsidR="009B1C3E" w:rsidRPr="008C65B3" w:rsidRDefault="00783553" w:rsidP="00B56144">
            <w:pPr>
              <w:pStyle w:val="Default"/>
              <w:jc w:val="both"/>
              <w:rPr>
                <w:sz w:val="20"/>
                <w:szCs w:val="20"/>
              </w:rPr>
            </w:pPr>
            <w:r w:rsidRPr="008C65B3">
              <w:rPr>
                <w:sz w:val="20"/>
                <w:szCs w:val="20"/>
              </w:rPr>
              <w:t>3</w:t>
            </w:r>
            <w:r w:rsidR="00727AD9" w:rsidRPr="008C65B3">
              <w:rPr>
                <w:sz w:val="20"/>
                <w:szCs w:val="20"/>
              </w:rPr>
              <w:t>0</w:t>
            </w:r>
          </w:p>
          <w:p w:rsidR="00727AD9" w:rsidRPr="008C65B3" w:rsidRDefault="00727AD9" w:rsidP="00B56144">
            <w:pPr>
              <w:pStyle w:val="Default"/>
              <w:jc w:val="both"/>
              <w:rPr>
                <w:sz w:val="20"/>
                <w:szCs w:val="20"/>
              </w:rPr>
            </w:pPr>
            <w:r w:rsidRPr="008C65B3">
              <w:rPr>
                <w:sz w:val="20"/>
                <w:szCs w:val="20"/>
              </w:rPr>
              <w:t>0</w:t>
            </w:r>
          </w:p>
        </w:tc>
        <w:tc>
          <w:tcPr>
            <w:tcW w:w="943" w:type="dxa"/>
          </w:tcPr>
          <w:p w:rsidR="009B1C3E" w:rsidRPr="008C65B3" w:rsidRDefault="00BF1312" w:rsidP="00B56144">
            <w:pPr>
              <w:pStyle w:val="Default"/>
              <w:jc w:val="both"/>
              <w:rPr>
                <w:sz w:val="20"/>
                <w:szCs w:val="20"/>
              </w:rPr>
            </w:pPr>
            <w:r w:rsidRPr="008C65B3">
              <w:rPr>
                <w:sz w:val="20"/>
                <w:szCs w:val="20"/>
              </w:rPr>
              <w:t>0,177</w:t>
            </w:r>
          </w:p>
        </w:tc>
      </w:tr>
      <w:tr w:rsidR="009B1C3E" w:rsidRPr="008C65B3" w:rsidTr="009178AE">
        <w:tc>
          <w:tcPr>
            <w:tcW w:w="3231" w:type="dxa"/>
          </w:tcPr>
          <w:p w:rsidR="009B1C3E" w:rsidRPr="008C65B3" w:rsidRDefault="007E3AF4" w:rsidP="00B56144">
            <w:pPr>
              <w:pStyle w:val="Default"/>
              <w:jc w:val="both"/>
              <w:rPr>
                <w:sz w:val="20"/>
                <w:szCs w:val="20"/>
              </w:rPr>
            </w:pPr>
            <w:r w:rsidRPr="008C65B3">
              <w:rPr>
                <w:sz w:val="20"/>
                <w:szCs w:val="20"/>
              </w:rPr>
              <w:t>Asam Urat                   Tidak</w:t>
            </w:r>
          </w:p>
          <w:p w:rsidR="007E3AF4" w:rsidRPr="008C65B3" w:rsidRDefault="007E3AF4" w:rsidP="00B56144">
            <w:pPr>
              <w:pStyle w:val="Default"/>
              <w:jc w:val="both"/>
              <w:rPr>
                <w:sz w:val="20"/>
                <w:szCs w:val="20"/>
              </w:rPr>
            </w:pPr>
            <w:r w:rsidRPr="008C65B3">
              <w:rPr>
                <w:sz w:val="20"/>
                <w:szCs w:val="20"/>
              </w:rPr>
              <w:t xml:space="preserve">                                     Ya</w:t>
            </w:r>
          </w:p>
          <w:p w:rsidR="009178AE" w:rsidRPr="008C65B3" w:rsidRDefault="009178AE" w:rsidP="00B56144">
            <w:pPr>
              <w:pStyle w:val="Default"/>
              <w:jc w:val="both"/>
              <w:rPr>
                <w:sz w:val="20"/>
                <w:szCs w:val="20"/>
              </w:rPr>
            </w:pPr>
          </w:p>
        </w:tc>
        <w:tc>
          <w:tcPr>
            <w:tcW w:w="1134" w:type="dxa"/>
          </w:tcPr>
          <w:p w:rsidR="009B1C3E" w:rsidRPr="008C65B3" w:rsidRDefault="009C7083" w:rsidP="00B56144">
            <w:pPr>
              <w:pStyle w:val="Default"/>
              <w:jc w:val="both"/>
              <w:rPr>
                <w:sz w:val="20"/>
                <w:szCs w:val="20"/>
              </w:rPr>
            </w:pPr>
            <w:r w:rsidRPr="008C65B3">
              <w:rPr>
                <w:sz w:val="20"/>
                <w:szCs w:val="20"/>
              </w:rPr>
              <w:t>0</w:t>
            </w:r>
          </w:p>
          <w:p w:rsidR="009C7083" w:rsidRPr="008C65B3" w:rsidRDefault="009C7083" w:rsidP="00B56144">
            <w:pPr>
              <w:pStyle w:val="Default"/>
              <w:jc w:val="both"/>
              <w:rPr>
                <w:sz w:val="20"/>
                <w:szCs w:val="20"/>
              </w:rPr>
            </w:pPr>
            <w:r w:rsidRPr="008C65B3">
              <w:rPr>
                <w:sz w:val="20"/>
                <w:szCs w:val="20"/>
              </w:rPr>
              <w:t>5</w:t>
            </w:r>
          </w:p>
        </w:tc>
        <w:tc>
          <w:tcPr>
            <w:tcW w:w="1134" w:type="dxa"/>
          </w:tcPr>
          <w:p w:rsidR="009B1C3E" w:rsidRPr="008C65B3" w:rsidRDefault="00E41EE7" w:rsidP="00B56144">
            <w:pPr>
              <w:pStyle w:val="Default"/>
              <w:jc w:val="both"/>
              <w:rPr>
                <w:sz w:val="20"/>
                <w:szCs w:val="20"/>
              </w:rPr>
            </w:pPr>
            <w:r w:rsidRPr="008C65B3">
              <w:rPr>
                <w:sz w:val="20"/>
                <w:szCs w:val="20"/>
              </w:rPr>
              <w:t>0%</w:t>
            </w:r>
          </w:p>
          <w:p w:rsidR="00E41EE7" w:rsidRPr="008C65B3" w:rsidRDefault="00E41EE7" w:rsidP="00B56144">
            <w:pPr>
              <w:pStyle w:val="Default"/>
              <w:jc w:val="both"/>
              <w:rPr>
                <w:sz w:val="20"/>
                <w:szCs w:val="20"/>
              </w:rPr>
            </w:pPr>
            <w:r w:rsidRPr="008C65B3">
              <w:rPr>
                <w:sz w:val="20"/>
                <w:szCs w:val="20"/>
              </w:rPr>
              <w:t>16,7%</w:t>
            </w:r>
          </w:p>
        </w:tc>
        <w:tc>
          <w:tcPr>
            <w:tcW w:w="992" w:type="dxa"/>
          </w:tcPr>
          <w:p w:rsidR="009B1C3E" w:rsidRPr="008C65B3" w:rsidRDefault="00E41EE7" w:rsidP="00B56144">
            <w:pPr>
              <w:pStyle w:val="Default"/>
              <w:jc w:val="both"/>
              <w:rPr>
                <w:sz w:val="20"/>
                <w:szCs w:val="20"/>
              </w:rPr>
            </w:pPr>
            <w:r w:rsidRPr="008C65B3">
              <w:rPr>
                <w:sz w:val="20"/>
                <w:szCs w:val="20"/>
              </w:rPr>
              <w:t>7</w:t>
            </w:r>
          </w:p>
          <w:p w:rsidR="00E41EE7" w:rsidRPr="008C65B3" w:rsidRDefault="00E41EE7" w:rsidP="00B56144">
            <w:pPr>
              <w:pStyle w:val="Default"/>
              <w:jc w:val="both"/>
              <w:rPr>
                <w:sz w:val="20"/>
                <w:szCs w:val="20"/>
              </w:rPr>
            </w:pPr>
            <w:r w:rsidRPr="008C65B3">
              <w:rPr>
                <w:sz w:val="20"/>
                <w:szCs w:val="20"/>
              </w:rPr>
              <w:t>18</w:t>
            </w:r>
          </w:p>
        </w:tc>
        <w:tc>
          <w:tcPr>
            <w:tcW w:w="1134" w:type="dxa"/>
          </w:tcPr>
          <w:p w:rsidR="009B1C3E" w:rsidRPr="008C65B3" w:rsidRDefault="00727AD9" w:rsidP="00B56144">
            <w:pPr>
              <w:pStyle w:val="Default"/>
              <w:jc w:val="both"/>
              <w:rPr>
                <w:sz w:val="20"/>
                <w:szCs w:val="20"/>
              </w:rPr>
            </w:pPr>
            <w:r w:rsidRPr="008C65B3">
              <w:rPr>
                <w:sz w:val="20"/>
                <w:szCs w:val="20"/>
              </w:rPr>
              <w:t>23,3%</w:t>
            </w:r>
          </w:p>
          <w:p w:rsidR="00727AD9" w:rsidRPr="008C65B3" w:rsidRDefault="00727AD9" w:rsidP="00B56144">
            <w:pPr>
              <w:pStyle w:val="Default"/>
              <w:jc w:val="both"/>
              <w:rPr>
                <w:sz w:val="20"/>
                <w:szCs w:val="20"/>
              </w:rPr>
            </w:pPr>
            <w:r w:rsidRPr="008C65B3">
              <w:rPr>
                <w:sz w:val="20"/>
                <w:szCs w:val="20"/>
              </w:rPr>
              <w:t>76,7%</w:t>
            </w:r>
          </w:p>
        </w:tc>
        <w:tc>
          <w:tcPr>
            <w:tcW w:w="758" w:type="dxa"/>
          </w:tcPr>
          <w:p w:rsidR="009B1C3E" w:rsidRPr="008C65B3" w:rsidRDefault="00727AD9" w:rsidP="00B56144">
            <w:pPr>
              <w:pStyle w:val="Default"/>
              <w:jc w:val="both"/>
              <w:rPr>
                <w:sz w:val="20"/>
                <w:szCs w:val="20"/>
              </w:rPr>
            </w:pPr>
            <w:r w:rsidRPr="008C65B3">
              <w:rPr>
                <w:sz w:val="20"/>
                <w:szCs w:val="20"/>
              </w:rPr>
              <w:t>7</w:t>
            </w:r>
          </w:p>
          <w:p w:rsidR="00727AD9" w:rsidRPr="008C65B3" w:rsidRDefault="00727AD9" w:rsidP="00B56144">
            <w:pPr>
              <w:pStyle w:val="Default"/>
              <w:jc w:val="both"/>
              <w:rPr>
                <w:sz w:val="20"/>
                <w:szCs w:val="20"/>
              </w:rPr>
            </w:pPr>
            <w:r w:rsidRPr="008C65B3">
              <w:rPr>
                <w:sz w:val="20"/>
                <w:szCs w:val="20"/>
              </w:rPr>
              <w:t>23</w:t>
            </w:r>
          </w:p>
        </w:tc>
        <w:tc>
          <w:tcPr>
            <w:tcW w:w="943" w:type="dxa"/>
          </w:tcPr>
          <w:p w:rsidR="009B1C3E" w:rsidRPr="008C65B3" w:rsidRDefault="00BF1312" w:rsidP="00B56144">
            <w:pPr>
              <w:pStyle w:val="Default"/>
              <w:jc w:val="both"/>
              <w:rPr>
                <w:sz w:val="20"/>
                <w:szCs w:val="20"/>
              </w:rPr>
            </w:pPr>
            <w:r w:rsidRPr="008C65B3">
              <w:rPr>
                <w:sz w:val="20"/>
                <w:szCs w:val="20"/>
              </w:rPr>
              <w:t>0,000</w:t>
            </w:r>
          </w:p>
        </w:tc>
      </w:tr>
      <w:tr w:rsidR="009B1C3E" w:rsidRPr="008C65B3" w:rsidTr="009178AE">
        <w:tc>
          <w:tcPr>
            <w:tcW w:w="3231" w:type="dxa"/>
          </w:tcPr>
          <w:p w:rsidR="009B1C3E" w:rsidRPr="008C65B3" w:rsidRDefault="007E3AF4" w:rsidP="00B56144">
            <w:pPr>
              <w:pStyle w:val="Default"/>
              <w:jc w:val="both"/>
              <w:rPr>
                <w:sz w:val="20"/>
                <w:szCs w:val="20"/>
              </w:rPr>
            </w:pPr>
            <w:r w:rsidRPr="008C65B3">
              <w:rPr>
                <w:sz w:val="20"/>
                <w:szCs w:val="20"/>
              </w:rPr>
              <w:t>Kolesterol</w:t>
            </w:r>
            <w:r w:rsidR="009C7083" w:rsidRPr="008C65B3">
              <w:rPr>
                <w:sz w:val="20"/>
                <w:szCs w:val="20"/>
              </w:rPr>
              <w:t xml:space="preserve">           &lt; 200 mg/dL</w:t>
            </w:r>
          </w:p>
          <w:p w:rsidR="007E3AF4" w:rsidRPr="008C65B3" w:rsidRDefault="007E3AF4" w:rsidP="00B56144">
            <w:pPr>
              <w:pStyle w:val="Default"/>
              <w:jc w:val="both"/>
              <w:rPr>
                <w:sz w:val="20"/>
                <w:szCs w:val="20"/>
              </w:rPr>
            </w:pPr>
            <w:r w:rsidRPr="008C65B3">
              <w:rPr>
                <w:sz w:val="20"/>
                <w:szCs w:val="20"/>
              </w:rPr>
              <w:t xml:space="preserve"> </w:t>
            </w:r>
            <w:r w:rsidR="009C7083" w:rsidRPr="008C65B3">
              <w:rPr>
                <w:sz w:val="20"/>
                <w:szCs w:val="20"/>
              </w:rPr>
              <w:t xml:space="preserve">                        200-239 mg/dL</w:t>
            </w:r>
          </w:p>
          <w:p w:rsidR="009C7083" w:rsidRPr="008C65B3" w:rsidRDefault="009C7083" w:rsidP="00B56144">
            <w:pPr>
              <w:pStyle w:val="Default"/>
              <w:jc w:val="both"/>
              <w:rPr>
                <w:sz w:val="20"/>
                <w:szCs w:val="20"/>
              </w:rPr>
            </w:pPr>
            <w:r w:rsidRPr="008C65B3">
              <w:rPr>
                <w:sz w:val="20"/>
                <w:szCs w:val="20"/>
              </w:rPr>
              <w:t xml:space="preserve">                          ≥ 240 mg/dL</w:t>
            </w:r>
          </w:p>
          <w:p w:rsidR="009178AE" w:rsidRPr="008C65B3" w:rsidRDefault="009178AE" w:rsidP="00B56144">
            <w:pPr>
              <w:pStyle w:val="Default"/>
              <w:jc w:val="both"/>
              <w:rPr>
                <w:sz w:val="20"/>
                <w:szCs w:val="20"/>
              </w:rPr>
            </w:pPr>
          </w:p>
        </w:tc>
        <w:tc>
          <w:tcPr>
            <w:tcW w:w="1134" w:type="dxa"/>
          </w:tcPr>
          <w:p w:rsidR="009B1C3E" w:rsidRPr="008C65B3" w:rsidRDefault="009C7083" w:rsidP="00B56144">
            <w:pPr>
              <w:pStyle w:val="Default"/>
              <w:jc w:val="both"/>
              <w:rPr>
                <w:sz w:val="20"/>
                <w:szCs w:val="20"/>
              </w:rPr>
            </w:pPr>
            <w:r w:rsidRPr="008C65B3">
              <w:rPr>
                <w:sz w:val="20"/>
                <w:szCs w:val="20"/>
              </w:rPr>
              <w:t>4</w:t>
            </w:r>
          </w:p>
          <w:p w:rsidR="009C7083" w:rsidRPr="008C65B3" w:rsidRDefault="009C7083" w:rsidP="00B56144">
            <w:pPr>
              <w:pStyle w:val="Default"/>
              <w:jc w:val="both"/>
              <w:rPr>
                <w:sz w:val="20"/>
                <w:szCs w:val="20"/>
              </w:rPr>
            </w:pPr>
            <w:r w:rsidRPr="008C65B3">
              <w:rPr>
                <w:sz w:val="20"/>
                <w:szCs w:val="20"/>
              </w:rPr>
              <w:t>0</w:t>
            </w:r>
          </w:p>
          <w:p w:rsidR="009C7083" w:rsidRPr="008C65B3" w:rsidRDefault="009C7083" w:rsidP="00B56144">
            <w:pPr>
              <w:pStyle w:val="Default"/>
              <w:jc w:val="both"/>
              <w:rPr>
                <w:sz w:val="20"/>
                <w:szCs w:val="20"/>
              </w:rPr>
            </w:pPr>
            <w:r w:rsidRPr="008C65B3">
              <w:rPr>
                <w:sz w:val="20"/>
                <w:szCs w:val="20"/>
              </w:rPr>
              <w:t>1</w:t>
            </w:r>
          </w:p>
        </w:tc>
        <w:tc>
          <w:tcPr>
            <w:tcW w:w="1134" w:type="dxa"/>
          </w:tcPr>
          <w:p w:rsidR="009B1C3E" w:rsidRPr="008C65B3" w:rsidRDefault="00E41EE7" w:rsidP="00B56144">
            <w:pPr>
              <w:pStyle w:val="Default"/>
              <w:jc w:val="both"/>
              <w:rPr>
                <w:sz w:val="20"/>
                <w:szCs w:val="20"/>
              </w:rPr>
            </w:pPr>
            <w:r w:rsidRPr="008C65B3">
              <w:rPr>
                <w:sz w:val="20"/>
                <w:szCs w:val="20"/>
              </w:rPr>
              <w:t>13,3%</w:t>
            </w:r>
          </w:p>
          <w:p w:rsidR="00E41EE7" w:rsidRPr="008C65B3" w:rsidRDefault="00E41EE7" w:rsidP="00B56144">
            <w:pPr>
              <w:pStyle w:val="Default"/>
              <w:jc w:val="both"/>
              <w:rPr>
                <w:sz w:val="20"/>
                <w:szCs w:val="20"/>
              </w:rPr>
            </w:pPr>
            <w:r w:rsidRPr="008C65B3">
              <w:rPr>
                <w:sz w:val="20"/>
                <w:szCs w:val="20"/>
              </w:rPr>
              <w:t>0%</w:t>
            </w:r>
          </w:p>
          <w:p w:rsidR="00E41EE7" w:rsidRPr="008C65B3" w:rsidRDefault="00E41EE7" w:rsidP="00B56144">
            <w:pPr>
              <w:pStyle w:val="Default"/>
              <w:jc w:val="both"/>
              <w:rPr>
                <w:sz w:val="20"/>
                <w:szCs w:val="20"/>
              </w:rPr>
            </w:pPr>
            <w:r w:rsidRPr="008C65B3">
              <w:rPr>
                <w:sz w:val="20"/>
                <w:szCs w:val="20"/>
              </w:rPr>
              <w:t>3,3%</w:t>
            </w:r>
          </w:p>
        </w:tc>
        <w:tc>
          <w:tcPr>
            <w:tcW w:w="992" w:type="dxa"/>
          </w:tcPr>
          <w:p w:rsidR="009B1C3E" w:rsidRPr="008C65B3" w:rsidRDefault="0051722F" w:rsidP="00B56144">
            <w:pPr>
              <w:pStyle w:val="Default"/>
              <w:jc w:val="both"/>
              <w:rPr>
                <w:sz w:val="20"/>
                <w:szCs w:val="20"/>
              </w:rPr>
            </w:pPr>
            <w:r w:rsidRPr="008C65B3">
              <w:rPr>
                <w:sz w:val="20"/>
                <w:szCs w:val="20"/>
              </w:rPr>
              <w:t>18</w:t>
            </w:r>
          </w:p>
          <w:p w:rsidR="0051722F" w:rsidRPr="008C65B3" w:rsidRDefault="0051722F" w:rsidP="00B56144">
            <w:pPr>
              <w:pStyle w:val="Default"/>
              <w:jc w:val="both"/>
              <w:rPr>
                <w:sz w:val="20"/>
                <w:szCs w:val="20"/>
              </w:rPr>
            </w:pPr>
            <w:r w:rsidRPr="008C65B3">
              <w:rPr>
                <w:sz w:val="20"/>
                <w:szCs w:val="20"/>
              </w:rPr>
              <w:t>4</w:t>
            </w:r>
          </w:p>
          <w:p w:rsidR="0051722F" w:rsidRPr="008C65B3" w:rsidRDefault="0051722F" w:rsidP="00B56144">
            <w:pPr>
              <w:pStyle w:val="Default"/>
              <w:jc w:val="both"/>
              <w:rPr>
                <w:sz w:val="20"/>
                <w:szCs w:val="20"/>
              </w:rPr>
            </w:pPr>
            <w:r w:rsidRPr="008C65B3">
              <w:rPr>
                <w:sz w:val="20"/>
                <w:szCs w:val="20"/>
              </w:rPr>
              <w:t>3</w:t>
            </w:r>
          </w:p>
        </w:tc>
        <w:tc>
          <w:tcPr>
            <w:tcW w:w="1134" w:type="dxa"/>
          </w:tcPr>
          <w:p w:rsidR="009B1C3E" w:rsidRPr="008C65B3" w:rsidRDefault="00727AD9" w:rsidP="00B56144">
            <w:pPr>
              <w:pStyle w:val="Default"/>
              <w:jc w:val="both"/>
              <w:rPr>
                <w:sz w:val="20"/>
                <w:szCs w:val="20"/>
              </w:rPr>
            </w:pPr>
            <w:r w:rsidRPr="008C65B3">
              <w:rPr>
                <w:sz w:val="20"/>
                <w:szCs w:val="20"/>
              </w:rPr>
              <w:t>60%</w:t>
            </w:r>
          </w:p>
          <w:p w:rsidR="00727AD9" w:rsidRPr="008C65B3" w:rsidRDefault="00727AD9" w:rsidP="00B56144">
            <w:pPr>
              <w:pStyle w:val="Default"/>
              <w:jc w:val="both"/>
              <w:rPr>
                <w:sz w:val="20"/>
                <w:szCs w:val="20"/>
              </w:rPr>
            </w:pPr>
            <w:r w:rsidRPr="008C65B3">
              <w:rPr>
                <w:sz w:val="20"/>
                <w:szCs w:val="20"/>
              </w:rPr>
              <w:t>13,3%</w:t>
            </w:r>
          </w:p>
          <w:p w:rsidR="00727AD9" w:rsidRPr="008C65B3" w:rsidRDefault="00727AD9" w:rsidP="00B56144">
            <w:pPr>
              <w:pStyle w:val="Default"/>
              <w:jc w:val="both"/>
              <w:rPr>
                <w:sz w:val="20"/>
                <w:szCs w:val="20"/>
              </w:rPr>
            </w:pPr>
            <w:r w:rsidRPr="008C65B3">
              <w:rPr>
                <w:sz w:val="20"/>
                <w:szCs w:val="20"/>
              </w:rPr>
              <w:t>10%</w:t>
            </w:r>
          </w:p>
        </w:tc>
        <w:tc>
          <w:tcPr>
            <w:tcW w:w="758" w:type="dxa"/>
          </w:tcPr>
          <w:p w:rsidR="009B1C3E" w:rsidRPr="008C65B3" w:rsidRDefault="00727AD9" w:rsidP="00B56144">
            <w:pPr>
              <w:pStyle w:val="Default"/>
              <w:jc w:val="both"/>
              <w:rPr>
                <w:sz w:val="20"/>
                <w:szCs w:val="20"/>
              </w:rPr>
            </w:pPr>
            <w:r w:rsidRPr="008C65B3">
              <w:rPr>
                <w:sz w:val="20"/>
                <w:szCs w:val="20"/>
              </w:rPr>
              <w:t>22</w:t>
            </w:r>
          </w:p>
          <w:p w:rsidR="00727AD9" w:rsidRPr="008C65B3" w:rsidRDefault="00727AD9" w:rsidP="00B56144">
            <w:pPr>
              <w:pStyle w:val="Default"/>
              <w:jc w:val="both"/>
              <w:rPr>
                <w:sz w:val="20"/>
                <w:szCs w:val="20"/>
              </w:rPr>
            </w:pPr>
            <w:r w:rsidRPr="008C65B3">
              <w:rPr>
                <w:sz w:val="20"/>
                <w:szCs w:val="20"/>
              </w:rPr>
              <w:t>4</w:t>
            </w:r>
          </w:p>
          <w:p w:rsidR="00727AD9" w:rsidRPr="008C65B3" w:rsidRDefault="00727AD9" w:rsidP="00B56144">
            <w:pPr>
              <w:pStyle w:val="Default"/>
              <w:jc w:val="both"/>
              <w:rPr>
                <w:sz w:val="20"/>
                <w:szCs w:val="20"/>
              </w:rPr>
            </w:pPr>
            <w:r w:rsidRPr="008C65B3">
              <w:rPr>
                <w:sz w:val="20"/>
                <w:szCs w:val="20"/>
              </w:rPr>
              <w:t>4</w:t>
            </w:r>
          </w:p>
        </w:tc>
        <w:tc>
          <w:tcPr>
            <w:tcW w:w="943" w:type="dxa"/>
          </w:tcPr>
          <w:p w:rsidR="009B1C3E" w:rsidRPr="008C65B3" w:rsidRDefault="00BF1312" w:rsidP="00B56144">
            <w:pPr>
              <w:pStyle w:val="Default"/>
              <w:jc w:val="both"/>
              <w:rPr>
                <w:sz w:val="20"/>
                <w:szCs w:val="20"/>
              </w:rPr>
            </w:pPr>
            <w:r w:rsidRPr="008C65B3">
              <w:rPr>
                <w:sz w:val="20"/>
                <w:szCs w:val="20"/>
              </w:rPr>
              <w:t>0,0</w:t>
            </w:r>
            <w:r w:rsidR="00783553" w:rsidRPr="008C65B3">
              <w:rPr>
                <w:sz w:val="20"/>
                <w:szCs w:val="20"/>
              </w:rPr>
              <w:t>02</w:t>
            </w:r>
          </w:p>
        </w:tc>
      </w:tr>
      <w:tr w:rsidR="009B1C3E" w:rsidRPr="008C65B3" w:rsidTr="009178AE">
        <w:tc>
          <w:tcPr>
            <w:tcW w:w="3231" w:type="dxa"/>
          </w:tcPr>
          <w:p w:rsidR="007E3AF4" w:rsidRPr="008C65B3" w:rsidRDefault="007E3AF4" w:rsidP="00B56144">
            <w:pPr>
              <w:pStyle w:val="Default"/>
              <w:jc w:val="both"/>
              <w:rPr>
                <w:sz w:val="20"/>
                <w:szCs w:val="20"/>
              </w:rPr>
            </w:pPr>
            <w:r w:rsidRPr="008C65B3">
              <w:rPr>
                <w:sz w:val="20"/>
                <w:szCs w:val="20"/>
              </w:rPr>
              <w:lastRenderedPageBreak/>
              <w:t>Riwayat Penyakit       Tidak</w:t>
            </w:r>
          </w:p>
          <w:p w:rsidR="009B1C3E" w:rsidRPr="008C65B3" w:rsidRDefault="007E3AF4" w:rsidP="00B56144">
            <w:pPr>
              <w:pStyle w:val="Default"/>
              <w:jc w:val="both"/>
              <w:rPr>
                <w:sz w:val="20"/>
                <w:szCs w:val="20"/>
              </w:rPr>
            </w:pPr>
            <w:r w:rsidRPr="008C65B3">
              <w:rPr>
                <w:sz w:val="20"/>
                <w:szCs w:val="20"/>
              </w:rPr>
              <w:t>pembuluh darah          Ya</w:t>
            </w:r>
          </w:p>
        </w:tc>
        <w:tc>
          <w:tcPr>
            <w:tcW w:w="1134" w:type="dxa"/>
          </w:tcPr>
          <w:p w:rsidR="009B1C3E" w:rsidRPr="008C65B3" w:rsidRDefault="009C7083" w:rsidP="00B56144">
            <w:pPr>
              <w:pStyle w:val="Default"/>
              <w:jc w:val="both"/>
              <w:rPr>
                <w:sz w:val="20"/>
                <w:szCs w:val="20"/>
              </w:rPr>
            </w:pPr>
            <w:r w:rsidRPr="008C65B3">
              <w:rPr>
                <w:sz w:val="20"/>
                <w:szCs w:val="20"/>
              </w:rPr>
              <w:t>4</w:t>
            </w:r>
          </w:p>
          <w:p w:rsidR="009C7083" w:rsidRPr="008C65B3" w:rsidRDefault="009C7083" w:rsidP="00B56144">
            <w:pPr>
              <w:pStyle w:val="Default"/>
              <w:jc w:val="both"/>
              <w:rPr>
                <w:sz w:val="20"/>
                <w:szCs w:val="20"/>
              </w:rPr>
            </w:pPr>
            <w:r w:rsidRPr="008C65B3">
              <w:rPr>
                <w:sz w:val="20"/>
                <w:szCs w:val="20"/>
              </w:rPr>
              <w:t>1</w:t>
            </w:r>
          </w:p>
        </w:tc>
        <w:tc>
          <w:tcPr>
            <w:tcW w:w="1134" w:type="dxa"/>
          </w:tcPr>
          <w:p w:rsidR="009B1C3E" w:rsidRPr="008C65B3" w:rsidRDefault="00E41EE7" w:rsidP="00B56144">
            <w:pPr>
              <w:pStyle w:val="Default"/>
              <w:jc w:val="both"/>
              <w:rPr>
                <w:sz w:val="20"/>
                <w:szCs w:val="20"/>
              </w:rPr>
            </w:pPr>
            <w:r w:rsidRPr="008C65B3">
              <w:rPr>
                <w:sz w:val="20"/>
                <w:szCs w:val="20"/>
              </w:rPr>
              <w:t>13,3%</w:t>
            </w:r>
          </w:p>
          <w:p w:rsidR="00E41EE7" w:rsidRPr="008C65B3" w:rsidRDefault="00E41EE7" w:rsidP="00B56144">
            <w:pPr>
              <w:pStyle w:val="Default"/>
              <w:jc w:val="both"/>
              <w:rPr>
                <w:sz w:val="20"/>
                <w:szCs w:val="20"/>
              </w:rPr>
            </w:pPr>
            <w:r w:rsidRPr="008C65B3">
              <w:rPr>
                <w:sz w:val="20"/>
                <w:szCs w:val="20"/>
              </w:rPr>
              <w:t>3,3%</w:t>
            </w:r>
          </w:p>
        </w:tc>
        <w:tc>
          <w:tcPr>
            <w:tcW w:w="992" w:type="dxa"/>
          </w:tcPr>
          <w:p w:rsidR="009B1C3E" w:rsidRPr="008C65B3" w:rsidRDefault="0051722F" w:rsidP="00B56144">
            <w:pPr>
              <w:pStyle w:val="Default"/>
              <w:jc w:val="both"/>
              <w:rPr>
                <w:sz w:val="20"/>
                <w:szCs w:val="20"/>
              </w:rPr>
            </w:pPr>
            <w:r w:rsidRPr="008C65B3">
              <w:rPr>
                <w:sz w:val="20"/>
                <w:szCs w:val="20"/>
              </w:rPr>
              <w:t>21</w:t>
            </w:r>
          </w:p>
          <w:p w:rsidR="0051722F" w:rsidRPr="008C65B3" w:rsidRDefault="0051722F" w:rsidP="00B56144">
            <w:pPr>
              <w:pStyle w:val="Default"/>
              <w:jc w:val="both"/>
              <w:rPr>
                <w:sz w:val="20"/>
                <w:szCs w:val="20"/>
              </w:rPr>
            </w:pPr>
            <w:r w:rsidRPr="008C65B3">
              <w:rPr>
                <w:sz w:val="20"/>
                <w:szCs w:val="20"/>
              </w:rPr>
              <w:t>4</w:t>
            </w:r>
          </w:p>
        </w:tc>
        <w:tc>
          <w:tcPr>
            <w:tcW w:w="1134" w:type="dxa"/>
          </w:tcPr>
          <w:p w:rsidR="009B1C3E" w:rsidRPr="008C65B3" w:rsidRDefault="00727AD9" w:rsidP="00B56144">
            <w:pPr>
              <w:pStyle w:val="Default"/>
              <w:jc w:val="both"/>
              <w:rPr>
                <w:sz w:val="20"/>
                <w:szCs w:val="20"/>
              </w:rPr>
            </w:pPr>
            <w:r w:rsidRPr="008C65B3">
              <w:rPr>
                <w:sz w:val="20"/>
                <w:szCs w:val="20"/>
              </w:rPr>
              <w:t>70%</w:t>
            </w:r>
          </w:p>
          <w:p w:rsidR="00727AD9" w:rsidRPr="008C65B3" w:rsidRDefault="00727AD9" w:rsidP="00B56144">
            <w:pPr>
              <w:pStyle w:val="Default"/>
              <w:jc w:val="both"/>
              <w:rPr>
                <w:sz w:val="20"/>
                <w:szCs w:val="20"/>
              </w:rPr>
            </w:pPr>
            <w:r w:rsidRPr="008C65B3">
              <w:rPr>
                <w:sz w:val="20"/>
                <w:szCs w:val="20"/>
              </w:rPr>
              <w:t>13,3%</w:t>
            </w:r>
          </w:p>
        </w:tc>
        <w:tc>
          <w:tcPr>
            <w:tcW w:w="758" w:type="dxa"/>
          </w:tcPr>
          <w:p w:rsidR="009B1C3E" w:rsidRPr="008C65B3" w:rsidRDefault="00727AD9" w:rsidP="00B56144">
            <w:pPr>
              <w:pStyle w:val="Default"/>
              <w:jc w:val="both"/>
              <w:rPr>
                <w:sz w:val="20"/>
                <w:szCs w:val="20"/>
              </w:rPr>
            </w:pPr>
            <w:r w:rsidRPr="008C65B3">
              <w:rPr>
                <w:sz w:val="20"/>
                <w:szCs w:val="20"/>
              </w:rPr>
              <w:t>25</w:t>
            </w:r>
          </w:p>
          <w:p w:rsidR="00727AD9" w:rsidRPr="008C65B3" w:rsidRDefault="00727AD9" w:rsidP="00B56144">
            <w:pPr>
              <w:pStyle w:val="Default"/>
              <w:jc w:val="both"/>
              <w:rPr>
                <w:sz w:val="20"/>
                <w:szCs w:val="20"/>
              </w:rPr>
            </w:pPr>
            <w:r w:rsidRPr="008C65B3">
              <w:rPr>
                <w:sz w:val="20"/>
                <w:szCs w:val="20"/>
              </w:rPr>
              <w:t>5</w:t>
            </w:r>
          </w:p>
        </w:tc>
        <w:tc>
          <w:tcPr>
            <w:tcW w:w="943" w:type="dxa"/>
          </w:tcPr>
          <w:p w:rsidR="009B1C3E" w:rsidRPr="008C65B3" w:rsidRDefault="0065721C" w:rsidP="00B56144">
            <w:pPr>
              <w:pStyle w:val="Default"/>
              <w:jc w:val="both"/>
              <w:rPr>
                <w:sz w:val="20"/>
                <w:szCs w:val="20"/>
              </w:rPr>
            </w:pPr>
            <w:r w:rsidRPr="008C65B3">
              <w:rPr>
                <w:sz w:val="20"/>
                <w:szCs w:val="20"/>
              </w:rPr>
              <w:t>0,06</w:t>
            </w:r>
            <w:r w:rsidR="00783553" w:rsidRPr="008C65B3">
              <w:rPr>
                <w:sz w:val="20"/>
                <w:szCs w:val="20"/>
              </w:rPr>
              <w:t>4</w:t>
            </w:r>
          </w:p>
        </w:tc>
      </w:tr>
    </w:tbl>
    <w:p w:rsidR="001351DE" w:rsidRPr="008C65B3" w:rsidRDefault="001351DE" w:rsidP="00B56144">
      <w:pPr>
        <w:pStyle w:val="Default"/>
        <w:jc w:val="both"/>
        <w:rPr>
          <w:b/>
          <w:sz w:val="20"/>
          <w:szCs w:val="20"/>
        </w:rPr>
      </w:pPr>
    </w:p>
    <w:p w:rsidR="007805DF" w:rsidRPr="008C65B3" w:rsidRDefault="0065721C" w:rsidP="00C10B77">
      <w:pPr>
        <w:pStyle w:val="HTMLPreformatted"/>
        <w:shd w:val="clear" w:color="auto" w:fill="F8F9FA"/>
        <w:jc w:val="both"/>
        <w:rPr>
          <w:rFonts w:ascii="Times New Roman" w:hAnsi="Times New Roman" w:cs="Times New Roman"/>
          <w:color w:val="222222"/>
        </w:rPr>
      </w:pPr>
      <w:r w:rsidRPr="008C65B3">
        <w:rPr>
          <w:rFonts w:ascii="Times New Roman" w:hAnsi="Times New Roman" w:cs="Times New Roman"/>
          <w:color w:val="222222"/>
        </w:rPr>
        <w:t>Tiga</w:t>
      </w:r>
      <w:r w:rsidR="007805DF" w:rsidRPr="008C65B3">
        <w:rPr>
          <w:rFonts w:ascii="Times New Roman" w:hAnsi="Times New Roman" w:cs="Times New Roman"/>
          <w:color w:val="222222"/>
          <w:lang w:val="id-ID"/>
        </w:rPr>
        <w:t xml:space="preserve"> variabel, yang tidak menunjukkan signifikan</w:t>
      </w:r>
      <w:r w:rsidR="00C10B77" w:rsidRPr="008C65B3">
        <w:rPr>
          <w:rFonts w:ascii="Times New Roman" w:hAnsi="Times New Roman" w:cs="Times New Roman"/>
          <w:color w:val="222222"/>
        </w:rPr>
        <w:t xml:space="preserve"> </w:t>
      </w:r>
      <w:r w:rsidR="007805DF" w:rsidRPr="008C65B3">
        <w:rPr>
          <w:rFonts w:ascii="Times New Roman" w:hAnsi="Times New Roman" w:cs="Times New Roman"/>
          <w:color w:val="222222"/>
          <w:lang w:val="id-ID"/>
        </w:rPr>
        <w:t>hubungan statistik dengan pra-diabetes / diabetes adalah</w:t>
      </w:r>
      <w:r w:rsidR="00C10B77" w:rsidRPr="008C65B3">
        <w:rPr>
          <w:rFonts w:ascii="Times New Roman" w:hAnsi="Times New Roman" w:cs="Times New Roman"/>
          <w:color w:val="222222"/>
        </w:rPr>
        <w:t xml:space="preserve"> </w:t>
      </w:r>
      <w:r w:rsidR="00783553" w:rsidRPr="008C65B3">
        <w:rPr>
          <w:rFonts w:ascii="Times New Roman" w:hAnsi="Times New Roman" w:cs="Times New Roman"/>
          <w:color w:val="222222"/>
        </w:rPr>
        <w:t xml:space="preserve">riwayat keturunan </w:t>
      </w:r>
      <w:r w:rsidR="00783553" w:rsidRPr="008C65B3">
        <w:rPr>
          <w:rFonts w:ascii="Times New Roman" w:hAnsi="Times New Roman" w:cs="Times New Roman"/>
          <w:color w:val="222222"/>
          <w:lang w:val="id-ID"/>
        </w:rPr>
        <w:t>(p = 0,</w:t>
      </w:r>
      <w:r w:rsidR="00783553" w:rsidRPr="008C65B3">
        <w:rPr>
          <w:rFonts w:ascii="Times New Roman" w:hAnsi="Times New Roman" w:cs="Times New Roman"/>
          <w:color w:val="222222"/>
        </w:rPr>
        <w:t>190</w:t>
      </w:r>
      <w:r w:rsidRPr="008C65B3">
        <w:rPr>
          <w:rFonts w:ascii="Times New Roman" w:hAnsi="Times New Roman" w:cs="Times New Roman"/>
          <w:color w:val="222222"/>
          <w:lang w:val="id-ID"/>
        </w:rPr>
        <w:t>)</w:t>
      </w:r>
      <w:r w:rsidRPr="008C65B3">
        <w:rPr>
          <w:rFonts w:ascii="Times New Roman" w:hAnsi="Times New Roman" w:cs="Times New Roman"/>
          <w:color w:val="222222"/>
        </w:rPr>
        <w:t>,</w:t>
      </w:r>
      <w:r w:rsidR="007805DF" w:rsidRPr="008C65B3">
        <w:rPr>
          <w:rFonts w:ascii="Times New Roman" w:hAnsi="Times New Roman" w:cs="Times New Roman"/>
          <w:color w:val="222222"/>
          <w:lang w:val="id-ID"/>
        </w:rPr>
        <w:t xml:space="preserve"> </w:t>
      </w:r>
      <w:r w:rsidR="00783553" w:rsidRPr="008C65B3">
        <w:rPr>
          <w:rFonts w:ascii="Times New Roman" w:hAnsi="Times New Roman" w:cs="Times New Roman"/>
          <w:color w:val="222222"/>
        </w:rPr>
        <w:t xml:space="preserve">riwayat PCOS </w:t>
      </w:r>
      <w:r w:rsidR="00783553" w:rsidRPr="008C65B3">
        <w:rPr>
          <w:rFonts w:ascii="Times New Roman" w:hAnsi="Times New Roman" w:cs="Times New Roman"/>
          <w:color w:val="222222"/>
          <w:lang w:val="id-ID"/>
        </w:rPr>
        <w:t>(p = 0,</w:t>
      </w:r>
      <w:r w:rsidR="00783553" w:rsidRPr="008C65B3">
        <w:rPr>
          <w:rFonts w:ascii="Times New Roman" w:hAnsi="Times New Roman" w:cs="Times New Roman"/>
          <w:color w:val="222222"/>
        </w:rPr>
        <w:t>177</w:t>
      </w:r>
      <w:r w:rsidR="007805DF" w:rsidRPr="008C65B3">
        <w:rPr>
          <w:rFonts w:ascii="Times New Roman" w:hAnsi="Times New Roman" w:cs="Times New Roman"/>
          <w:color w:val="222222"/>
          <w:lang w:val="id-ID"/>
        </w:rPr>
        <w:t>)</w:t>
      </w:r>
      <w:r w:rsidRPr="008C65B3">
        <w:rPr>
          <w:rFonts w:ascii="Times New Roman" w:hAnsi="Times New Roman" w:cs="Times New Roman"/>
          <w:color w:val="222222"/>
        </w:rPr>
        <w:t xml:space="preserve"> dan riwayat penyakit pembuluh darah (p = 0,064)</w:t>
      </w:r>
      <w:r w:rsidR="007805DF" w:rsidRPr="008C65B3">
        <w:rPr>
          <w:rFonts w:ascii="Times New Roman" w:hAnsi="Times New Roman" w:cs="Times New Roman"/>
          <w:color w:val="222222"/>
          <w:lang w:val="id-ID"/>
        </w:rPr>
        <w:t xml:space="preserve">. Itu terjadi karena proporsi </w:t>
      </w:r>
      <w:r w:rsidR="00783553" w:rsidRPr="008C65B3">
        <w:rPr>
          <w:rFonts w:ascii="Times New Roman" w:hAnsi="Times New Roman" w:cs="Times New Roman"/>
          <w:color w:val="222222"/>
        </w:rPr>
        <w:t>responden diketahui prediabetes/diabetes di usia tua</w:t>
      </w:r>
      <w:r w:rsidRPr="008C65B3">
        <w:rPr>
          <w:rFonts w:ascii="Times New Roman" w:hAnsi="Times New Roman" w:cs="Times New Roman"/>
          <w:color w:val="222222"/>
        </w:rPr>
        <w:t xml:space="preserve">, </w:t>
      </w:r>
      <w:r w:rsidR="002546D1" w:rsidRPr="008C65B3">
        <w:rPr>
          <w:rFonts w:ascii="Times New Roman" w:hAnsi="Times New Roman" w:cs="Times New Roman"/>
          <w:color w:val="222222"/>
        </w:rPr>
        <w:t xml:space="preserve">responden </w:t>
      </w:r>
      <w:r w:rsidRPr="008C65B3">
        <w:rPr>
          <w:rFonts w:ascii="Times New Roman" w:hAnsi="Times New Roman" w:cs="Times New Roman"/>
          <w:color w:val="222222"/>
        </w:rPr>
        <w:t>tidak mempunyai riwayat PCOS dan tidak mempunyai riwayat penyakit pembuluh darah.</w:t>
      </w:r>
    </w:p>
    <w:p w:rsidR="009B1C3E" w:rsidRPr="008C65B3" w:rsidRDefault="009B1C3E" w:rsidP="00B56144">
      <w:pPr>
        <w:pStyle w:val="Default"/>
        <w:jc w:val="both"/>
        <w:rPr>
          <w:b/>
          <w:sz w:val="20"/>
          <w:szCs w:val="20"/>
        </w:rPr>
      </w:pPr>
    </w:p>
    <w:p w:rsidR="000B690E" w:rsidRPr="008C65B3" w:rsidRDefault="000B690E" w:rsidP="000B690E">
      <w:pPr>
        <w:pStyle w:val="Default"/>
        <w:jc w:val="both"/>
        <w:rPr>
          <w:sz w:val="20"/>
          <w:szCs w:val="20"/>
        </w:rPr>
      </w:pPr>
      <w:r w:rsidRPr="008C65B3">
        <w:rPr>
          <w:sz w:val="20"/>
          <w:szCs w:val="20"/>
        </w:rPr>
        <w:t>Tabel 8. Hubungan faktor resiko dengan prediabetes/diabetes di wilayah pesisir</w:t>
      </w:r>
    </w:p>
    <w:p w:rsidR="0051722F" w:rsidRPr="008C65B3" w:rsidRDefault="0051722F" w:rsidP="00B56144">
      <w:pPr>
        <w:pStyle w:val="Default"/>
        <w:jc w:val="both"/>
        <w:rPr>
          <w:b/>
          <w:sz w:val="20"/>
          <w:szCs w:val="20"/>
        </w:rPr>
      </w:pPr>
    </w:p>
    <w:tbl>
      <w:tblPr>
        <w:tblStyle w:val="TableGrid"/>
        <w:tblW w:w="9351" w:type="dxa"/>
        <w:tblLayout w:type="fixed"/>
        <w:tblLook w:val="04A0"/>
      </w:tblPr>
      <w:tblGrid>
        <w:gridCol w:w="3085"/>
        <w:gridCol w:w="1276"/>
        <w:gridCol w:w="1134"/>
        <w:gridCol w:w="1134"/>
        <w:gridCol w:w="992"/>
        <w:gridCol w:w="709"/>
        <w:gridCol w:w="1021"/>
      </w:tblGrid>
      <w:tr w:rsidR="009B1C3E" w:rsidRPr="008C65B3" w:rsidTr="000B690E">
        <w:tc>
          <w:tcPr>
            <w:tcW w:w="3085" w:type="dxa"/>
            <w:vMerge w:val="restart"/>
            <w:tcBorders>
              <w:top w:val="single" w:sz="4" w:space="0" w:color="auto"/>
              <w:left w:val="nil"/>
              <w:right w:val="nil"/>
            </w:tcBorders>
            <w:vAlign w:val="center"/>
          </w:tcPr>
          <w:p w:rsidR="009B1C3E" w:rsidRPr="008C65B3" w:rsidRDefault="009B1C3E" w:rsidP="000B690E">
            <w:pPr>
              <w:pStyle w:val="Default"/>
              <w:jc w:val="center"/>
              <w:rPr>
                <w:b/>
                <w:sz w:val="20"/>
                <w:szCs w:val="20"/>
              </w:rPr>
            </w:pPr>
          </w:p>
        </w:tc>
        <w:tc>
          <w:tcPr>
            <w:tcW w:w="4536" w:type="dxa"/>
            <w:gridSpan w:val="4"/>
            <w:tcBorders>
              <w:top w:val="single" w:sz="4" w:space="0" w:color="auto"/>
              <w:left w:val="nil"/>
              <w:right w:val="nil"/>
            </w:tcBorders>
            <w:vAlign w:val="center"/>
          </w:tcPr>
          <w:p w:rsidR="009B1C3E" w:rsidRPr="008C65B3" w:rsidRDefault="009B1C3E" w:rsidP="000B690E">
            <w:pPr>
              <w:pStyle w:val="Default"/>
              <w:jc w:val="center"/>
              <w:rPr>
                <w:b/>
                <w:sz w:val="20"/>
                <w:szCs w:val="20"/>
              </w:rPr>
            </w:pPr>
            <w:r w:rsidRPr="008C65B3">
              <w:rPr>
                <w:b/>
                <w:sz w:val="20"/>
                <w:szCs w:val="20"/>
              </w:rPr>
              <w:t>Catgory</w:t>
            </w:r>
          </w:p>
        </w:tc>
        <w:tc>
          <w:tcPr>
            <w:tcW w:w="1730" w:type="dxa"/>
            <w:gridSpan w:val="2"/>
            <w:tcBorders>
              <w:left w:val="nil"/>
              <w:right w:val="nil"/>
            </w:tcBorders>
            <w:vAlign w:val="center"/>
          </w:tcPr>
          <w:p w:rsidR="009B1C3E" w:rsidRPr="008C65B3" w:rsidRDefault="009B1C3E" w:rsidP="000B690E">
            <w:pPr>
              <w:pStyle w:val="Default"/>
              <w:jc w:val="center"/>
              <w:rPr>
                <w:b/>
                <w:sz w:val="20"/>
                <w:szCs w:val="20"/>
              </w:rPr>
            </w:pPr>
            <w:r w:rsidRPr="008C65B3">
              <w:rPr>
                <w:b/>
                <w:sz w:val="20"/>
                <w:szCs w:val="20"/>
              </w:rPr>
              <w:t>Total</w:t>
            </w:r>
          </w:p>
        </w:tc>
      </w:tr>
      <w:tr w:rsidR="009B1C3E" w:rsidRPr="008C65B3" w:rsidTr="000B690E">
        <w:tc>
          <w:tcPr>
            <w:tcW w:w="3085" w:type="dxa"/>
            <w:vMerge/>
            <w:tcBorders>
              <w:left w:val="nil"/>
              <w:right w:val="nil"/>
            </w:tcBorders>
          </w:tcPr>
          <w:p w:rsidR="009B1C3E" w:rsidRPr="008C65B3" w:rsidRDefault="009B1C3E" w:rsidP="000B690E">
            <w:pPr>
              <w:pStyle w:val="Default"/>
              <w:jc w:val="both"/>
              <w:rPr>
                <w:b/>
                <w:sz w:val="20"/>
                <w:szCs w:val="20"/>
              </w:rPr>
            </w:pPr>
          </w:p>
        </w:tc>
        <w:tc>
          <w:tcPr>
            <w:tcW w:w="2410" w:type="dxa"/>
            <w:gridSpan w:val="2"/>
            <w:tcBorders>
              <w:left w:val="nil"/>
              <w:right w:val="nil"/>
            </w:tcBorders>
            <w:vAlign w:val="center"/>
          </w:tcPr>
          <w:p w:rsidR="009B1C3E" w:rsidRPr="008C65B3" w:rsidRDefault="009B1C3E" w:rsidP="000B690E">
            <w:pPr>
              <w:pStyle w:val="Default"/>
              <w:jc w:val="center"/>
              <w:rPr>
                <w:b/>
                <w:sz w:val="20"/>
                <w:szCs w:val="20"/>
              </w:rPr>
            </w:pPr>
            <w:r w:rsidRPr="008C65B3">
              <w:rPr>
                <w:b/>
                <w:sz w:val="20"/>
                <w:szCs w:val="20"/>
              </w:rPr>
              <w:t>Normal</w:t>
            </w:r>
          </w:p>
        </w:tc>
        <w:tc>
          <w:tcPr>
            <w:tcW w:w="2126" w:type="dxa"/>
            <w:gridSpan w:val="2"/>
            <w:tcBorders>
              <w:left w:val="nil"/>
              <w:right w:val="nil"/>
            </w:tcBorders>
          </w:tcPr>
          <w:p w:rsidR="009B1C3E" w:rsidRPr="008C65B3" w:rsidRDefault="009B1C3E" w:rsidP="000B690E">
            <w:pPr>
              <w:pStyle w:val="Default"/>
              <w:jc w:val="both"/>
              <w:rPr>
                <w:b/>
                <w:sz w:val="20"/>
                <w:szCs w:val="20"/>
              </w:rPr>
            </w:pPr>
            <w:r w:rsidRPr="008C65B3">
              <w:rPr>
                <w:b/>
                <w:sz w:val="20"/>
                <w:szCs w:val="20"/>
              </w:rPr>
              <w:t>Prediabet /Diabet</w:t>
            </w:r>
          </w:p>
        </w:tc>
        <w:tc>
          <w:tcPr>
            <w:tcW w:w="709" w:type="dxa"/>
            <w:vMerge w:val="restart"/>
            <w:tcBorders>
              <w:top w:val="nil"/>
              <w:left w:val="nil"/>
              <w:right w:val="nil"/>
            </w:tcBorders>
            <w:vAlign w:val="center"/>
          </w:tcPr>
          <w:p w:rsidR="009B1C3E" w:rsidRPr="008C65B3" w:rsidRDefault="009B1C3E" w:rsidP="000B690E">
            <w:pPr>
              <w:pStyle w:val="Default"/>
              <w:jc w:val="center"/>
              <w:rPr>
                <w:b/>
                <w:sz w:val="20"/>
                <w:szCs w:val="20"/>
              </w:rPr>
            </w:pPr>
            <w:r w:rsidRPr="008C65B3">
              <w:rPr>
                <w:b/>
                <w:sz w:val="20"/>
                <w:szCs w:val="20"/>
              </w:rPr>
              <w:t>N</w:t>
            </w:r>
          </w:p>
        </w:tc>
        <w:tc>
          <w:tcPr>
            <w:tcW w:w="1021" w:type="dxa"/>
            <w:vMerge w:val="restart"/>
            <w:tcBorders>
              <w:top w:val="nil"/>
              <w:left w:val="nil"/>
              <w:right w:val="nil"/>
            </w:tcBorders>
            <w:vAlign w:val="center"/>
          </w:tcPr>
          <w:p w:rsidR="009B1C3E" w:rsidRPr="008C65B3" w:rsidRDefault="002546D1" w:rsidP="000B690E">
            <w:pPr>
              <w:pStyle w:val="Default"/>
              <w:jc w:val="center"/>
              <w:rPr>
                <w:b/>
                <w:sz w:val="20"/>
                <w:szCs w:val="20"/>
              </w:rPr>
            </w:pPr>
            <w:r w:rsidRPr="008C65B3">
              <w:rPr>
                <w:bCs/>
                <w:i/>
                <w:iCs/>
                <w:sz w:val="20"/>
                <w:szCs w:val="20"/>
              </w:rPr>
              <w:t>p-value</w:t>
            </w:r>
          </w:p>
        </w:tc>
      </w:tr>
      <w:tr w:rsidR="009B1C3E" w:rsidRPr="008C65B3" w:rsidTr="000B690E">
        <w:tc>
          <w:tcPr>
            <w:tcW w:w="3085" w:type="dxa"/>
            <w:vMerge/>
            <w:tcBorders>
              <w:left w:val="nil"/>
              <w:right w:val="nil"/>
            </w:tcBorders>
          </w:tcPr>
          <w:p w:rsidR="009B1C3E" w:rsidRPr="008C65B3" w:rsidRDefault="009B1C3E" w:rsidP="000B690E">
            <w:pPr>
              <w:pStyle w:val="Default"/>
              <w:jc w:val="both"/>
              <w:rPr>
                <w:b/>
                <w:sz w:val="20"/>
                <w:szCs w:val="20"/>
              </w:rPr>
            </w:pPr>
          </w:p>
        </w:tc>
        <w:tc>
          <w:tcPr>
            <w:tcW w:w="1276" w:type="dxa"/>
            <w:tcBorders>
              <w:left w:val="nil"/>
              <w:right w:val="nil"/>
            </w:tcBorders>
            <w:vAlign w:val="center"/>
          </w:tcPr>
          <w:p w:rsidR="009B1C3E" w:rsidRPr="008C65B3" w:rsidRDefault="009B1C3E" w:rsidP="000B690E">
            <w:pPr>
              <w:pStyle w:val="Default"/>
              <w:jc w:val="center"/>
              <w:rPr>
                <w:b/>
                <w:sz w:val="20"/>
                <w:szCs w:val="20"/>
              </w:rPr>
            </w:pPr>
            <w:r w:rsidRPr="008C65B3">
              <w:rPr>
                <w:b/>
                <w:sz w:val="20"/>
                <w:szCs w:val="20"/>
              </w:rPr>
              <w:t>n</w:t>
            </w:r>
          </w:p>
        </w:tc>
        <w:tc>
          <w:tcPr>
            <w:tcW w:w="1134" w:type="dxa"/>
            <w:tcBorders>
              <w:left w:val="nil"/>
              <w:right w:val="nil"/>
            </w:tcBorders>
            <w:vAlign w:val="center"/>
          </w:tcPr>
          <w:p w:rsidR="009B1C3E" w:rsidRPr="008C65B3" w:rsidRDefault="009B1C3E" w:rsidP="000B690E">
            <w:pPr>
              <w:pStyle w:val="Default"/>
              <w:jc w:val="center"/>
              <w:rPr>
                <w:b/>
                <w:sz w:val="20"/>
                <w:szCs w:val="20"/>
              </w:rPr>
            </w:pPr>
            <w:r w:rsidRPr="008C65B3">
              <w:rPr>
                <w:b/>
                <w:sz w:val="20"/>
                <w:szCs w:val="20"/>
              </w:rPr>
              <w:t>%</w:t>
            </w:r>
          </w:p>
        </w:tc>
        <w:tc>
          <w:tcPr>
            <w:tcW w:w="1134" w:type="dxa"/>
            <w:tcBorders>
              <w:top w:val="nil"/>
              <w:left w:val="nil"/>
              <w:right w:val="nil"/>
            </w:tcBorders>
            <w:vAlign w:val="center"/>
          </w:tcPr>
          <w:p w:rsidR="009B1C3E" w:rsidRPr="008C65B3" w:rsidRDefault="009B1C3E" w:rsidP="000B690E">
            <w:pPr>
              <w:pStyle w:val="Default"/>
              <w:jc w:val="center"/>
              <w:rPr>
                <w:b/>
                <w:sz w:val="20"/>
                <w:szCs w:val="20"/>
              </w:rPr>
            </w:pPr>
            <w:r w:rsidRPr="008C65B3">
              <w:rPr>
                <w:b/>
                <w:sz w:val="20"/>
                <w:szCs w:val="20"/>
              </w:rPr>
              <w:t>n</w:t>
            </w:r>
          </w:p>
        </w:tc>
        <w:tc>
          <w:tcPr>
            <w:tcW w:w="992" w:type="dxa"/>
            <w:tcBorders>
              <w:top w:val="nil"/>
              <w:left w:val="nil"/>
              <w:right w:val="nil"/>
            </w:tcBorders>
            <w:vAlign w:val="center"/>
          </w:tcPr>
          <w:p w:rsidR="009B1C3E" w:rsidRPr="008C65B3" w:rsidRDefault="009B1C3E" w:rsidP="000B690E">
            <w:pPr>
              <w:pStyle w:val="Default"/>
              <w:jc w:val="center"/>
              <w:rPr>
                <w:b/>
                <w:sz w:val="20"/>
                <w:szCs w:val="20"/>
              </w:rPr>
            </w:pPr>
            <w:r w:rsidRPr="008C65B3">
              <w:rPr>
                <w:b/>
                <w:sz w:val="20"/>
                <w:szCs w:val="20"/>
              </w:rPr>
              <w:t>%</w:t>
            </w:r>
          </w:p>
        </w:tc>
        <w:tc>
          <w:tcPr>
            <w:tcW w:w="709" w:type="dxa"/>
            <w:vMerge/>
            <w:tcBorders>
              <w:left w:val="nil"/>
              <w:right w:val="nil"/>
            </w:tcBorders>
            <w:vAlign w:val="center"/>
          </w:tcPr>
          <w:p w:rsidR="009B1C3E" w:rsidRPr="008C65B3" w:rsidRDefault="009B1C3E" w:rsidP="000B690E">
            <w:pPr>
              <w:pStyle w:val="Default"/>
              <w:jc w:val="center"/>
              <w:rPr>
                <w:b/>
                <w:sz w:val="20"/>
                <w:szCs w:val="20"/>
              </w:rPr>
            </w:pPr>
          </w:p>
        </w:tc>
        <w:tc>
          <w:tcPr>
            <w:tcW w:w="1021" w:type="dxa"/>
            <w:vMerge/>
            <w:tcBorders>
              <w:left w:val="nil"/>
              <w:right w:val="nil"/>
            </w:tcBorders>
          </w:tcPr>
          <w:p w:rsidR="009B1C3E" w:rsidRPr="008C65B3" w:rsidRDefault="009B1C3E" w:rsidP="000B690E">
            <w:pPr>
              <w:pStyle w:val="Default"/>
              <w:jc w:val="both"/>
              <w:rPr>
                <w:b/>
                <w:sz w:val="20"/>
                <w:szCs w:val="20"/>
              </w:rPr>
            </w:pPr>
          </w:p>
        </w:tc>
      </w:tr>
    </w:tbl>
    <w:p w:rsidR="009B1C3E" w:rsidRPr="008C65B3" w:rsidRDefault="009B1C3E" w:rsidP="00B56144">
      <w:pPr>
        <w:pStyle w:val="Default"/>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18"/>
        <w:gridCol w:w="992"/>
        <w:gridCol w:w="709"/>
        <w:gridCol w:w="1276"/>
        <w:gridCol w:w="992"/>
        <w:gridCol w:w="1134"/>
        <w:gridCol w:w="709"/>
        <w:gridCol w:w="943"/>
      </w:tblGrid>
      <w:tr w:rsidR="000B690E" w:rsidRPr="008C65B3" w:rsidTr="009878D0">
        <w:tc>
          <w:tcPr>
            <w:tcW w:w="2518"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Riwayat Keturunan</w:t>
            </w: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5</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16.7%</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18</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60.0%</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23</w:t>
            </w:r>
          </w:p>
        </w:tc>
        <w:tc>
          <w:tcPr>
            <w:tcW w:w="943" w:type="dxa"/>
          </w:tcPr>
          <w:p w:rsidR="000B690E" w:rsidRPr="008C65B3" w:rsidRDefault="0065721C" w:rsidP="000B690E">
            <w:pPr>
              <w:pStyle w:val="Default"/>
              <w:jc w:val="both"/>
              <w:rPr>
                <w:sz w:val="20"/>
                <w:szCs w:val="20"/>
              </w:rPr>
            </w:pPr>
            <w:r w:rsidRPr="008C65B3">
              <w:rPr>
                <w:sz w:val="20"/>
                <w:szCs w:val="20"/>
              </w:rPr>
              <w:t>0,269</w:t>
            </w: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Ya</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3</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10.0%</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4</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13.3%</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7</w:t>
            </w:r>
          </w:p>
        </w:tc>
        <w:tc>
          <w:tcPr>
            <w:tcW w:w="943" w:type="dxa"/>
          </w:tcPr>
          <w:p w:rsidR="000B690E" w:rsidRPr="008C65B3" w:rsidRDefault="000B690E" w:rsidP="000B690E">
            <w:pPr>
              <w:pStyle w:val="Default"/>
              <w:jc w:val="both"/>
              <w:rPr>
                <w:b/>
                <w:sz w:val="20"/>
                <w:szCs w:val="20"/>
              </w:rPr>
            </w:pP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Melahirkan&gt; 4 Kg</w:t>
            </w: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8</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26.7%</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22</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73.3%</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30</w:t>
            </w:r>
          </w:p>
        </w:tc>
        <w:tc>
          <w:tcPr>
            <w:tcW w:w="943" w:type="dxa"/>
          </w:tcPr>
          <w:p w:rsidR="000B690E" w:rsidRPr="008C65B3" w:rsidRDefault="002546D1" w:rsidP="000B690E">
            <w:pPr>
              <w:pStyle w:val="Default"/>
              <w:jc w:val="both"/>
              <w:rPr>
                <w:sz w:val="20"/>
                <w:szCs w:val="20"/>
              </w:rPr>
            </w:pPr>
            <w:r w:rsidRPr="008C65B3">
              <w:rPr>
                <w:sz w:val="20"/>
                <w:szCs w:val="20"/>
              </w:rPr>
              <w:t>0,589</w:t>
            </w: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Ya</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134" w:type="dxa"/>
          </w:tcPr>
          <w:p w:rsidR="000B690E" w:rsidRPr="008C65B3" w:rsidRDefault="00885BCE" w:rsidP="000B690E">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943" w:type="dxa"/>
          </w:tcPr>
          <w:p w:rsidR="000B690E" w:rsidRPr="008C65B3" w:rsidRDefault="000B690E" w:rsidP="000B690E">
            <w:pPr>
              <w:pStyle w:val="Default"/>
              <w:jc w:val="both"/>
              <w:rPr>
                <w:b/>
                <w:sz w:val="20"/>
                <w:szCs w:val="20"/>
              </w:rPr>
            </w:pP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Riwayat PCOS</w:t>
            </w: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8</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26.7%</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22</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73.3%</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30</w:t>
            </w:r>
          </w:p>
        </w:tc>
        <w:tc>
          <w:tcPr>
            <w:tcW w:w="943" w:type="dxa"/>
          </w:tcPr>
          <w:p w:rsidR="000B690E" w:rsidRPr="008C65B3" w:rsidRDefault="00885BCE" w:rsidP="000B690E">
            <w:pPr>
              <w:pStyle w:val="Default"/>
              <w:jc w:val="both"/>
              <w:rPr>
                <w:sz w:val="20"/>
                <w:szCs w:val="20"/>
              </w:rPr>
            </w:pPr>
            <w:r w:rsidRPr="008C65B3">
              <w:rPr>
                <w:sz w:val="20"/>
                <w:szCs w:val="20"/>
              </w:rPr>
              <w:t>0,</w:t>
            </w:r>
            <w:r w:rsidR="0065721C" w:rsidRPr="008C65B3">
              <w:rPr>
                <w:sz w:val="20"/>
                <w:szCs w:val="20"/>
              </w:rPr>
              <w:t>114</w:t>
            </w: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Ya</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943" w:type="dxa"/>
          </w:tcPr>
          <w:p w:rsidR="000B690E" w:rsidRPr="008C65B3" w:rsidRDefault="000B690E" w:rsidP="000B690E">
            <w:pPr>
              <w:pStyle w:val="Default"/>
              <w:jc w:val="both"/>
              <w:rPr>
                <w:b/>
                <w:sz w:val="20"/>
                <w:szCs w:val="20"/>
              </w:rPr>
            </w:pP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Asam</w:t>
            </w:r>
            <w:r w:rsidR="00CE2F80" w:rsidRPr="008C65B3">
              <w:rPr>
                <w:rFonts w:ascii="Times New Roman" w:hAnsi="Times New Roman" w:cs="Times New Roman"/>
                <w:sz w:val="20"/>
                <w:szCs w:val="20"/>
              </w:rPr>
              <w:t xml:space="preserve"> </w:t>
            </w:r>
            <w:r w:rsidRPr="008C65B3">
              <w:rPr>
                <w:rFonts w:ascii="Times New Roman" w:hAnsi="Times New Roman" w:cs="Times New Roman"/>
                <w:sz w:val="20"/>
                <w:szCs w:val="20"/>
              </w:rPr>
              <w:t>Urat</w:t>
            </w: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6.7%</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8</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26.7%</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10</w:t>
            </w:r>
          </w:p>
        </w:tc>
        <w:tc>
          <w:tcPr>
            <w:tcW w:w="943" w:type="dxa"/>
          </w:tcPr>
          <w:p w:rsidR="000B690E" w:rsidRPr="008C65B3" w:rsidRDefault="0065721C" w:rsidP="000B690E">
            <w:pPr>
              <w:pStyle w:val="Default"/>
              <w:jc w:val="both"/>
              <w:rPr>
                <w:sz w:val="20"/>
                <w:szCs w:val="20"/>
              </w:rPr>
            </w:pPr>
            <w:r w:rsidRPr="008C65B3">
              <w:rPr>
                <w:sz w:val="20"/>
                <w:szCs w:val="20"/>
              </w:rPr>
              <w:t>0,000</w:t>
            </w: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Ya</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6</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20.0%</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14</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66.7%</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20</w:t>
            </w:r>
          </w:p>
        </w:tc>
        <w:tc>
          <w:tcPr>
            <w:tcW w:w="943" w:type="dxa"/>
          </w:tcPr>
          <w:p w:rsidR="000B690E" w:rsidRPr="008C65B3" w:rsidRDefault="000B690E" w:rsidP="000B690E">
            <w:pPr>
              <w:pStyle w:val="Default"/>
              <w:jc w:val="both"/>
              <w:rPr>
                <w:b/>
                <w:sz w:val="20"/>
                <w:szCs w:val="20"/>
              </w:rPr>
            </w:pP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Kolesterol</w:t>
            </w: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&lt; 200</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3</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10.0%</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3</w:t>
            </w:r>
          </w:p>
        </w:tc>
        <w:tc>
          <w:tcPr>
            <w:tcW w:w="943" w:type="dxa"/>
          </w:tcPr>
          <w:p w:rsidR="000B690E" w:rsidRPr="008C65B3" w:rsidRDefault="0065721C" w:rsidP="000B690E">
            <w:pPr>
              <w:pStyle w:val="Default"/>
              <w:jc w:val="both"/>
              <w:rPr>
                <w:sz w:val="20"/>
                <w:szCs w:val="20"/>
              </w:rPr>
            </w:pPr>
            <w:r w:rsidRPr="008C65B3">
              <w:rPr>
                <w:sz w:val="20"/>
                <w:szCs w:val="20"/>
              </w:rPr>
              <w:t>0,000</w:t>
            </w: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200-239</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3.3%</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9</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30.0%</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10</w:t>
            </w:r>
          </w:p>
        </w:tc>
        <w:tc>
          <w:tcPr>
            <w:tcW w:w="943" w:type="dxa"/>
          </w:tcPr>
          <w:p w:rsidR="000B690E" w:rsidRPr="008C65B3" w:rsidRDefault="000B690E" w:rsidP="000B690E">
            <w:pPr>
              <w:pStyle w:val="Default"/>
              <w:jc w:val="both"/>
              <w:rPr>
                <w:b/>
                <w:sz w:val="20"/>
                <w:szCs w:val="20"/>
              </w:rPr>
            </w:pP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&gt; 240</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7</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23.3%</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10</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33.3%</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17</w:t>
            </w:r>
          </w:p>
        </w:tc>
        <w:tc>
          <w:tcPr>
            <w:tcW w:w="943" w:type="dxa"/>
          </w:tcPr>
          <w:p w:rsidR="000B690E" w:rsidRPr="008C65B3" w:rsidRDefault="000B690E" w:rsidP="000B690E">
            <w:pPr>
              <w:pStyle w:val="Default"/>
              <w:jc w:val="both"/>
              <w:rPr>
                <w:b/>
                <w:sz w:val="20"/>
                <w:szCs w:val="20"/>
              </w:rPr>
            </w:pP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Riw</w:t>
            </w:r>
            <w:r w:rsidR="009878D0" w:rsidRPr="008C65B3">
              <w:rPr>
                <w:rFonts w:ascii="Times New Roman" w:hAnsi="Times New Roman" w:cs="Times New Roman"/>
                <w:sz w:val="20"/>
                <w:szCs w:val="20"/>
              </w:rPr>
              <w:t>a</w:t>
            </w:r>
            <w:r w:rsidRPr="008C65B3">
              <w:rPr>
                <w:rFonts w:ascii="Times New Roman" w:hAnsi="Times New Roman" w:cs="Times New Roman"/>
                <w:sz w:val="20"/>
                <w:szCs w:val="20"/>
              </w:rPr>
              <w:t>y</w:t>
            </w:r>
            <w:r w:rsidR="009878D0" w:rsidRPr="008C65B3">
              <w:rPr>
                <w:rFonts w:ascii="Times New Roman" w:hAnsi="Times New Roman" w:cs="Times New Roman"/>
                <w:sz w:val="20"/>
                <w:szCs w:val="20"/>
              </w:rPr>
              <w:t>a</w:t>
            </w:r>
            <w:r w:rsidRPr="008C65B3">
              <w:rPr>
                <w:rFonts w:ascii="Times New Roman" w:hAnsi="Times New Roman" w:cs="Times New Roman"/>
                <w:sz w:val="20"/>
                <w:szCs w:val="20"/>
              </w:rPr>
              <w:t>t</w:t>
            </w:r>
            <w:r w:rsidR="009878D0" w:rsidRPr="008C65B3">
              <w:rPr>
                <w:rFonts w:ascii="Times New Roman" w:hAnsi="Times New Roman" w:cs="Times New Roman"/>
                <w:sz w:val="20"/>
                <w:szCs w:val="20"/>
              </w:rPr>
              <w:t xml:space="preserve"> </w:t>
            </w:r>
            <w:r w:rsidRPr="008C65B3">
              <w:rPr>
                <w:rFonts w:ascii="Times New Roman" w:hAnsi="Times New Roman" w:cs="Times New Roman"/>
                <w:sz w:val="20"/>
                <w:szCs w:val="20"/>
              </w:rPr>
              <w:t>Penyakit</w:t>
            </w:r>
            <w:r w:rsidR="009878D0" w:rsidRPr="008C65B3">
              <w:rPr>
                <w:rFonts w:ascii="Times New Roman" w:hAnsi="Times New Roman" w:cs="Times New Roman"/>
                <w:sz w:val="20"/>
                <w:szCs w:val="20"/>
              </w:rPr>
              <w:t xml:space="preserve"> </w:t>
            </w:r>
            <w:r w:rsidRPr="008C65B3">
              <w:rPr>
                <w:rFonts w:ascii="Times New Roman" w:hAnsi="Times New Roman" w:cs="Times New Roman"/>
                <w:sz w:val="20"/>
                <w:szCs w:val="20"/>
              </w:rPr>
              <w:t>Pembuluh</w:t>
            </w:r>
            <w:r w:rsidR="009878D0" w:rsidRPr="008C65B3">
              <w:rPr>
                <w:rFonts w:ascii="Times New Roman" w:hAnsi="Times New Roman" w:cs="Times New Roman"/>
                <w:sz w:val="20"/>
                <w:szCs w:val="20"/>
              </w:rPr>
              <w:t xml:space="preserve"> </w:t>
            </w:r>
            <w:r w:rsidRPr="008C65B3">
              <w:rPr>
                <w:rFonts w:ascii="Times New Roman" w:hAnsi="Times New Roman" w:cs="Times New Roman"/>
                <w:sz w:val="20"/>
                <w:szCs w:val="20"/>
              </w:rPr>
              <w:t>Darah</w:t>
            </w: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5</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16.7%</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15</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50.0%</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20</w:t>
            </w:r>
          </w:p>
        </w:tc>
        <w:tc>
          <w:tcPr>
            <w:tcW w:w="943" w:type="dxa"/>
          </w:tcPr>
          <w:p w:rsidR="000B690E" w:rsidRPr="008C65B3" w:rsidRDefault="0065721C" w:rsidP="000B690E">
            <w:pPr>
              <w:pStyle w:val="Default"/>
              <w:jc w:val="both"/>
              <w:rPr>
                <w:sz w:val="20"/>
                <w:szCs w:val="20"/>
              </w:rPr>
            </w:pPr>
            <w:r w:rsidRPr="008C65B3">
              <w:rPr>
                <w:sz w:val="20"/>
                <w:szCs w:val="20"/>
              </w:rPr>
              <w:t>0,041</w:t>
            </w:r>
          </w:p>
        </w:tc>
      </w:tr>
      <w:tr w:rsidR="000B690E" w:rsidRPr="008C65B3" w:rsidTr="009878D0">
        <w:tc>
          <w:tcPr>
            <w:tcW w:w="2518" w:type="dxa"/>
          </w:tcPr>
          <w:p w:rsidR="000B690E" w:rsidRPr="008C65B3" w:rsidRDefault="000B690E" w:rsidP="000B690E">
            <w:pPr>
              <w:rPr>
                <w:rFonts w:ascii="Times New Roman" w:hAnsi="Times New Roman" w:cs="Times New Roman"/>
                <w:sz w:val="20"/>
                <w:szCs w:val="20"/>
              </w:rPr>
            </w:pPr>
          </w:p>
        </w:tc>
        <w:tc>
          <w:tcPr>
            <w:tcW w:w="992" w:type="dxa"/>
          </w:tcPr>
          <w:p w:rsidR="000B690E" w:rsidRPr="008C65B3" w:rsidRDefault="000B690E" w:rsidP="000B690E">
            <w:pPr>
              <w:rPr>
                <w:rFonts w:ascii="Times New Roman" w:hAnsi="Times New Roman" w:cs="Times New Roman"/>
                <w:sz w:val="20"/>
                <w:szCs w:val="20"/>
              </w:rPr>
            </w:pPr>
            <w:r w:rsidRPr="008C65B3">
              <w:rPr>
                <w:rFonts w:ascii="Times New Roman" w:hAnsi="Times New Roman" w:cs="Times New Roman"/>
                <w:sz w:val="20"/>
                <w:szCs w:val="20"/>
              </w:rPr>
              <w:t>Ya</w:t>
            </w:r>
          </w:p>
        </w:tc>
        <w:tc>
          <w:tcPr>
            <w:tcW w:w="709"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3</w:t>
            </w:r>
          </w:p>
        </w:tc>
        <w:tc>
          <w:tcPr>
            <w:tcW w:w="1276"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10.0%</w:t>
            </w:r>
          </w:p>
        </w:tc>
        <w:tc>
          <w:tcPr>
            <w:tcW w:w="992"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7</w:t>
            </w:r>
          </w:p>
        </w:tc>
        <w:tc>
          <w:tcPr>
            <w:tcW w:w="1134" w:type="dxa"/>
          </w:tcPr>
          <w:p w:rsidR="000B690E" w:rsidRPr="008C65B3" w:rsidRDefault="000B690E" w:rsidP="000B690E">
            <w:pPr>
              <w:jc w:val="center"/>
              <w:rPr>
                <w:rFonts w:ascii="Times New Roman" w:hAnsi="Times New Roman" w:cs="Times New Roman"/>
                <w:sz w:val="20"/>
                <w:szCs w:val="20"/>
              </w:rPr>
            </w:pPr>
            <w:r w:rsidRPr="008C65B3">
              <w:rPr>
                <w:rFonts w:ascii="Times New Roman" w:hAnsi="Times New Roman" w:cs="Times New Roman"/>
                <w:sz w:val="20"/>
                <w:szCs w:val="20"/>
              </w:rPr>
              <w:t>23.3%</w:t>
            </w:r>
          </w:p>
        </w:tc>
        <w:tc>
          <w:tcPr>
            <w:tcW w:w="709" w:type="dxa"/>
            <w:vAlign w:val="center"/>
          </w:tcPr>
          <w:p w:rsidR="000B690E" w:rsidRPr="008C65B3" w:rsidRDefault="009878D0" w:rsidP="009878D0">
            <w:pPr>
              <w:jc w:val="center"/>
              <w:rPr>
                <w:rFonts w:ascii="Times New Roman" w:hAnsi="Times New Roman" w:cs="Times New Roman"/>
                <w:sz w:val="20"/>
                <w:szCs w:val="20"/>
              </w:rPr>
            </w:pPr>
            <w:r w:rsidRPr="008C65B3">
              <w:rPr>
                <w:rFonts w:ascii="Times New Roman" w:hAnsi="Times New Roman" w:cs="Times New Roman"/>
                <w:sz w:val="20"/>
                <w:szCs w:val="20"/>
              </w:rPr>
              <w:t>10</w:t>
            </w:r>
          </w:p>
        </w:tc>
        <w:tc>
          <w:tcPr>
            <w:tcW w:w="943" w:type="dxa"/>
          </w:tcPr>
          <w:p w:rsidR="000B690E" w:rsidRPr="008C65B3" w:rsidRDefault="000B690E" w:rsidP="000B690E">
            <w:pPr>
              <w:pStyle w:val="Default"/>
              <w:jc w:val="both"/>
              <w:rPr>
                <w:b/>
                <w:sz w:val="20"/>
                <w:szCs w:val="20"/>
              </w:rPr>
            </w:pPr>
          </w:p>
        </w:tc>
      </w:tr>
    </w:tbl>
    <w:p w:rsidR="001558D0" w:rsidRPr="008C65B3" w:rsidRDefault="001558D0" w:rsidP="001558D0">
      <w:pPr>
        <w:pStyle w:val="HTMLPreformatted"/>
        <w:shd w:val="clear" w:color="auto" w:fill="F8F9FA"/>
        <w:jc w:val="both"/>
        <w:rPr>
          <w:rFonts w:ascii="Times New Roman" w:hAnsi="Times New Roman" w:cs="Times New Roman"/>
          <w:color w:val="222222"/>
        </w:rPr>
      </w:pPr>
    </w:p>
    <w:p w:rsidR="001558D0" w:rsidRPr="008C65B3" w:rsidRDefault="001558D0" w:rsidP="001558D0">
      <w:pPr>
        <w:pStyle w:val="HTMLPreformatted"/>
        <w:shd w:val="clear" w:color="auto" w:fill="F8F9FA"/>
        <w:jc w:val="both"/>
        <w:rPr>
          <w:rFonts w:ascii="Times New Roman" w:hAnsi="Times New Roman" w:cs="Times New Roman"/>
          <w:color w:val="222222"/>
        </w:rPr>
      </w:pPr>
      <w:r w:rsidRPr="008C65B3">
        <w:rPr>
          <w:rFonts w:ascii="Times New Roman" w:hAnsi="Times New Roman" w:cs="Times New Roman"/>
          <w:color w:val="222222"/>
        </w:rPr>
        <w:t>Tiga</w:t>
      </w:r>
      <w:r w:rsidRPr="008C65B3">
        <w:rPr>
          <w:rFonts w:ascii="Times New Roman" w:hAnsi="Times New Roman" w:cs="Times New Roman"/>
          <w:color w:val="222222"/>
          <w:lang w:val="id-ID"/>
        </w:rPr>
        <w:t xml:space="preserve"> variabel, yang tidak menunjukkan signifikan</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hubungan statistik dengan pra-diabetes / diabetes adalah</w:t>
      </w:r>
      <w:r w:rsidRPr="008C65B3">
        <w:rPr>
          <w:rFonts w:ascii="Times New Roman" w:hAnsi="Times New Roman" w:cs="Times New Roman"/>
          <w:color w:val="222222"/>
        </w:rPr>
        <w:t xml:space="preserve"> riwayat keturunan </w:t>
      </w:r>
      <w:r w:rsidRPr="008C65B3">
        <w:rPr>
          <w:rFonts w:ascii="Times New Roman" w:hAnsi="Times New Roman" w:cs="Times New Roman"/>
          <w:color w:val="222222"/>
          <w:lang w:val="id-ID"/>
        </w:rPr>
        <w:t>(p = 0,</w:t>
      </w:r>
      <w:r w:rsidRPr="008C65B3">
        <w:rPr>
          <w:rFonts w:ascii="Times New Roman" w:hAnsi="Times New Roman" w:cs="Times New Roman"/>
          <w:color w:val="222222"/>
        </w:rPr>
        <w:t>269</w:t>
      </w:r>
      <w:r w:rsidRPr="008C65B3">
        <w:rPr>
          <w:rFonts w:ascii="Times New Roman" w:hAnsi="Times New Roman" w:cs="Times New Roman"/>
          <w:color w:val="222222"/>
          <w:lang w:val="id-ID"/>
        </w:rPr>
        <w:t>)</w:t>
      </w:r>
      <w:r w:rsidRPr="008C65B3">
        <w:rPr>
          <w:rFonts w:ascii="Times New Roman" w:hAnsi="Times New Roman" w:cs="Times New Roman"/>
          <w:color w:val="222222"/>
        </w:rPr>
        <w:t>,</w:t>
      </w:r>
      <w:r w:rsidRPr="008C65B3">
        <w:rPr>
          <w:rFonts w:ascii="Times New Roman" w:hAnsi="Times New Roman" w:cs="Times New Roman"/>
          <w:color w:val="222222"/>
          <w:lang w:val="id-ID"/>
        </w:rPr>
        <w:t xml:space="preserve"> </w:t>
      </w:r>
      <w:r w:rsidRPr="008C65B3">
        <w:rPr>
          <w:rFonts w:ascii="Times New Roman" w:hAnsi="Times New Roman" w:cs="Times New Roman"/>
          <w:color w:val="222222"/>
        </w:rPr>
        <w:t>melahirkan &gt; 4 kg (</w:t>
      </w:r>
      <w:r w:rsidR="00DE4EBA" w:rsidRPr="008C65B3">
        <w:rPr>
          <w:rFonts w:ascii="Times New Roman" w:hAnsi="Times New Roman" w:cs="Times New Roman"/>
          <w:color w:val="222222"/>
        </w:rPr>
        <w:t>p=</w:t>
      </w:r>
      <w:r w:rsidRPr="008C65B3">
        <w:rPr>
          <w:rFonts w:ascii="Times New Roman" w:hAnsi="Times New Roman" w:cs="Times New Roman"/>
          <w:color w:val="222222"/>
        </w:rPr>
        <w:t xml:space="preserve">0,589), dan riwayat PCOS </w:t>
      </w:r>
      <w:r w:rsidRPr="008C65B3">
        <w:rPr>
          <w:rFonts w:ascii="Times New Roman" w:hAnsi="Times New Roman" w:cs="Times New Roman"/>
          <w:color w:val="222222"/>
          <w:lang w:val="id-ID"/>
        </w:rPr>
        <w:t>(p = 0,</w:t>
      </w:r>
      <w:r w:rsidR="00885BCE" w:rsidRPr="008C65B3">
        <w:rPr>
          <w:rFonts w:ascii="Times New Roman" w:hAnsi="Times New Roman" w:cs="Times New Roman"/>
          <w:color w:val="222222"/>
        </w:rPr>
        <w:t>114</w:t>
      </w:r>
      <w:r w:rsidRPr="008C65B3">
        <w:rPr>
          <w:rFonts w:ascii="Times New Roman" w:hAnsi="Times New Roman" w:cs="Times New Roman"/>
          <w:color w:val="222222"/>
          <w:lang w:val="id-ID"/>
        </w:rPr>
        <w:t>)</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 xml:space="preserve">Itu terjadi karena proporsi </w:t>
      </w:r>
      <w:r w:rsidRPr="008C65B3">
        <w:rPr>
          <w:rFonts w:ascii="Times New Roman" w:hAnsi="Times New Roman" w:cs="Times New Roman"/>
          <w:color w:val="222222"/>
        </w:rPr>
        <w:t>responden diketahui prediabetes/diabetes di usia tua, responden tidak mempunyai riwayat PCOS dan tidak mempunyai riwayat melahirkan &gt; 4 kg.</w:t>
      </w:r>
    </w:p>
    <w:p w:rsidR="009B1C3E" w:rsidRPr="008C65B3" w:rsidRDefault="009B1C3E" w:rsidP="00B56144">
      <w:pPr>
        <w:pStyle w:val="Default"/>
        <w:jc w:val="both"/>
        <w:rPr>
          <w:b/>
          <w:sz w:val="20"/>
          <w:szCs w:val="20"/>
        </w:rPr>
      </w:pPr>
    </w:p>
    <w:p w:rsidR="0065721C" w:rsidRPr="008C65B3" w:rsidRDefault="0065721C" w:rsidP="00B56144">
      <w:pPr>
        <w:pStyle w:val="Default"/>
        <w:jc w:val="both"/>
        <w:rPr>
          <w:b/>
          <w:sz w:val="20"/>
          <w:szCs w:val="20"/>
        </w:rPr>
      </w:pPr>
    </w:p>
    <w:p w:rsidR="009B1C3E" w:rsidRPr="008C65B3" w:rsidRDefault="00CF29ED" w:rsidP="00B56144">
      <w:pPr>
        <w:pStyle w:val="Default"/>
        <w:jc w:val="both"/>
        <w:rPr>
          <w:sz w:val="20"/>
          <w:szCs w:val="20"/>
        </w:rPr>
      </w:pPr>
      <w:r w:rsidRPr="008C65B3">
        <w:rPr>
          <w:sz w:val="20"/>
          <w:szCs w:val="20"/>
        </w:rPr>
        <w:t>Tabel 9</w:t>
      </w:r>
      <w:r w:rsidR="00603DB9" w:rsidRPr="008C65B3">
        <w:rPr>
          <w:sz w:val="20"/>
          <w:szCs w:val="20"/>
        </w:rPr>
        <w:t>. Hubungan faktor resiko dengan prediab</w:t>
      </w:r>
      <w:r w:rsidRPr="008C65B3">
        <w:rPr>
          <w:sz w:val="20"/>
          <w:szCs w:val="20"/>
        </w:rPr>
        <w:t>etes/diabetes di wilayah perkotaan</w:t>
      </w:r>
    </w:p>
    <w:p w:rsidR="009B1C3E" w:rsidRPr="008C65B3" w:rsidRDefault="009B1C3E" w:rsidP="00B56144">
      <w:pPr>
        <w:pStyle w:val="Default"/>
        <w:jc w:val="both"/>
        <w:rPr>
          <w:b/>
          <w:sz w:val="20"/>
          <w:szCs w:val="20"/>
        </w:rPr>
      </w:pPr>
    </w:p>
    <w:tbl>
      <w:tblPr>
        <w:tblStyle w:val="TableGrid"/>
        <w:tblW w:w="9776" w:type="dxa"/>
        <w:tblLayout w:type="fixed"/>
        <w:tblLook w:val="04A0"/>
      </w:tblPr>
      <w:tblGrid>
        <w:gridCol w:w="2642"/>
        <w:gridCol w:w="1152"/>
        <w:gridCol w:w="992"/>
        <w:gridCol w:w="1134"/>
        <w:gridCol w:w="1134"/>
        <w:gridCol w:w="992"/>
        <w:gridCol w:w="709"/>
        <w:gridCol w:w="1021"/>
      </w:tblGrid>
      <w:tr w:rsidR="009B1C3E" w:rsidRPr="008C65B3" w:rsidTr="00603DB9">
        <w:tc>
          <w:tcPr>
            <w:tcW w:w="3794" w:type="dxa"/>
            <w:gridSpan w:val="2"/>
            <w:vMerge w:val="restart"/>
            <w:tcBorders>
              <w:top w:val="single" w:sz="4" w:space="0" w:color="auto"/>
              <w:left w:val="nil"/>
              <w:right w:val="nil"/>
            </w:tcBorders>
            <w:vAlign w:val="center"/>
          </w:tcPr>
          <w:p w:rsidR="009B1C3E" w:rsidRPr="008C65B3" w:rsidRDefault="009B1C3E" w:rsidP="000B690E">
            <w:pPr>
              <w:pStyle w:val="Default"/>
              <w:jc w:val="center"/>
              <w:rPr>
                <w:b/>
                <w:sz w:val="20"/>
                <w:szCs w:val="20"/>
              </w:rPr>
            </w:pPr>
          </w:p>
        </w:tc>
        <w:tc>
          <w:tcPr>
            <w:tcW w:w="4252" w:type="dxa"/>
            <w:gridSpan w:val="4"/>
            <w:tcBorders>
              <w:top w:val="single" w:sz="4" w:space="0" w:color="auto"/>
              <w:left w:val="nil"/>
              <w:right w:val="nil"/>
            </w:tcBorders>
            <w:vAlign w:val="center"/>
          </w:tcPr>
          <w:p w:rsidR="009B1C3E" w:rsidRPr="008C65B3" w:rsidRDefault="009B1C3E" w:rsidP="000B690E">
            <w:pPr>
              <w:pStyle w:val="Default"/>
              <w:jc w:val="center"/>
              <w:rPr>
                <w:b/>
                <w:sz w:val="20"/>
                <w:szCs w:val="20"/>
              </w:rPr>
            </w:pPr>
            <w:r w:rsidRPr="008C65B3">
              <w:rPr>
                <w:b/>
                <w:sz w:val="20"/>
                <w:szCs w:val="20"/>
              </w:rPr>
              <w:t>Catgory</w:t>
            </w:r>
          </w:p>
        </w:tc>
        <w:tc>
          <w:tcPr>
            <w:tcW w:w="1730" w:type="dxa"/>
            <w:gridSpan w:val="2"/>
            <w:tcBorders>
              <w:left w:val="nil"/>
              <w:right w:val="nil"/>
            </w:tcBorders>
            <w:vAlign w:val="center"/>
          </w:tcPr>
          <w:p w:rsidR="009B1C3E" w:rsidRPr="008C65B3" w:rsidRDefault="009B1C3E" w:rsidP="000B690E">
            <w:pPr>
              <w:pStyle w:val="Default"/>
              <w:jc w:val="center"/>
              <w:rPr>
                <w:b/>
                <w:sz w:val="20"/>
                <w:szCs w:val="20"/>
              </w:rPr>
            </w:pPr>
            <w:r w:rsidRPr="008C65B3">
              <w:rPr>
                <w:b/>
                <w:sz w:val="20"/>
                <w:szCs w:val="20"/>
              </w:rPr>
              <w:t>Total</w:t>
            </w:r>
          </w:p>
        </w:tc>
      </w:tr>
      <w:tr w:rsidR="009B1C3E" w:rsidRPr="008C65B3" w:rsidTr="00603DB9">
        <w:tc>
          <w:tcPr>
            <w:tcW w:w="3794" w:type="dxa"/>
            <w:gridSpan w:val="2"/>
            <w:vMerge/>
            <w:tcBorders>
              <w:left w:val="nil"/>
              <w:right w:val="nil"/>
            </w:tcBorders>
          </w:tcPr>
          <w:p w:rsidR="009B1C3E" w:rsidRPr="008C65B3" w:rsidRDefault="009B1C3E" w:rsidP="000B690E">
            <w:pPr>
              <w:pStyle w:val="Default"/>
              <w:jc w:val="both"/>
              <w:rPr>
                <w:b/>
                <w:sz w:val="20"/>
                <w:szCs w:val="20"/>
              </w:rPr>
            </w:pPr>
          </w:p>
        </w:tc>
        <w:tc>
          <w:tcPr>
            <w:tcW w:w="2126" w:type="dxa"/>
            <w:gridSpan w:val="2"/>
            <w:tcBorders>
              <w:left w:val="nil"/>
              <w:right w:val="nil"/>
            </w:tcBorders>
            <w:vAlign w:val="center"/>
          </w:tcPr>
          <w:p w:rsidR="009B1C3E" w:rsidRPr="008C65B3" w:rsidRDefault="009B1C3E" w:rsidP="000B690E">
            <w:pPr>
              <w:pStyle w:val="Default"/>
              <w:jc w:val="center"/>
              <w:rPr>
                <w:b/>
                <w:sz w:val="20"/>
                <w:szCs w:val="20"/>
              </w:rPr>
            </w:pPr>
            <w:r w:rsidRPr="008C65B3">
              <w:rPr>
                <w:b/>
                <w:sz w:val="20"/>
                <w:szCs w:val="20"/>
              </w:rPr>
              <w:t>Normal</w:t>
            </w:r>
          </w:p>
        </w:tc>
        <w:tc>
          <w:tcPr>
            <w:tcW w:w="2126" w:type="dxa"/>
            <w:gridSpan w:val="2"/>
            <w:tcBorders>
              <w:left w:val="nil"/>
              <w:right w:val="nil"/>
            </w:tcBorders>
          </w:tcPr>
          <w:p w:rsidR="009B1C3E" w:rsidRPr="008C65B3" w:rsidRDefault="009B1C3E" w:rsidP="000B690E">
            <w:pPr>
              <w:pStyle w:val="Default"/>
              <w:jc w:val="both"/>
              <w:rPr>
                <w:b/>
                <w:sz w:val="20"/>
                <w:szCs w:val="20"/>
              </w:rPr>
            </w:pPr>
            <w:r w:rsidRPr="008C65B3">
              <w:rPr>
                <w:b/>
                <w:sz w:val="20"/>
                <w:szCs w:val="20"/>
              </w:rPr>
              <w:t>Prediabet /Diabet</w:t>
            </w:r>
          </w:p>
        </w:tc>
        <w:tc>
          <w:tcPr>
            <w:tcW w:w="709" w:type="dxa"/>
            <w:vMerge w:val="restart"/>
            <w:tcBorders>
              <w:top w:val="nil"/>
              <w:left w:val="nil"/>
              <w:right w:val="nil"/>
            </w:tcBorders>
            <w:vAlign w:val="center"/>
          </w:tcPr>
          <w:p w:rsidR="009B1C3E" w:rsidRPr="008C65B3" w:rsidRDefault="009B1C3E" w:rsidP="000B690E">
            <w:pPr>
              <w:pStyle w:val="Default"/>
              <w:jc w:val="center"/>
              <w:rPr>
                <w:b/>
                <w:sz w:val="20"/>
                <w:szCs w:val="20"/>
              </w:rPr>
            </w:pPr>
            <w:r w:rsidRPr="008C65B3">
              <w:rPr>
                <w:b/>
                <w:sz w:val="20"/>
                <w:szCs w:val="20"/>
              </w:rPr>
              <w:t>N</w:t>
            </w:r>
          </w:p>
        </w:tc>
        <w:tc>
          <w:tcPr>
            <w:tcW w:w="1021" w:type="dxa"/>
            <w:vMerge w:val="restart"/>
            <w:tcBorders>
              <w:top w:val="nil"/>
              <w:left w:val="nil"/>
              <w:right w:val="nil"/>
            </w:tcBorders>
            <w:vAlign w:val="center"/>
          </w:tcPr>
          <w:p w:rsidR="009B1C3E" w:rsidRPr="008C65B3" w:rsidRDefault="001558D0" w:rsidP="000B690E">
            <w:pPr>
              <w:pStyle w:val="Default"/>
              <w:jc w:val="center"/>
              <w:rPr>
                <w:b/>
                <w:sz w:val="20"/>
                <w:szCs w:val="20"/>
              </w:rPr>
            </w:pPr>
            <w:r w:rsidRPr="008C65B3">
              <w:rPr>
                <w:bCs/>
                <w:i/>
                <w:iCs/>
                <w:sz w:val="20"/>
                <w:szCs w:val="20"/>
              </w:rPr>
              <w:t>p-value</w:t>
            </w:r>
          </w:p>
        </w:tc>
      </w:tr>
      <w:tr w:rsidR="009B1C3E" w:rsidRPr="008C65B3" w:rsidTr="00AB37AF">
        <w:tc>
          <w:tcPr>
            <w:tcW w:w="3794" w:type="dxa"/>
            <w:gridSpan w:val="2"/>
            <w:vMerge/>
            <w:tcBorders>
              <w:left w:val="nil"/>
              <w:bottom w:val="nil"/>
              <w:right w:val="nil"/>
            </w:tcBorders>
          </w:tcPr>
          <w:p w:rsidR="009B1C3E" w:rsidRPr="008C65B3" w:rsidRDefault="009B1C3E" w:rsidP="000B690E">
            <w:pPr>
              <w:pStyle w:val="Default"/>
              <w:jc w:val="both"/>
              <w:rPr>
                <w:b/>
                <w:sz w:val="20"/>
                <w:szCs w:val="20"/>
              </w:rPr>
            </w:pPr>
          </w:p>
        </w:tc>
        <w:tc>
          <w:tcPr>
            <w:tcW w:w="992" w:type="dxa"/>
            <w:tcBorders>
              <w:left w:val="nil"/>
              <w:bottom w:val="nil"/>
              <w:right w:val="nil"/>
            </w:tcBorders>
            <w:vAlign w:val="center"/>
          </w:tcPr>
          <w:p w:rsidR="009B1C3E" w:rsidRPr="008C65B3" w:rsidRDefault="009B1C3E" w:rsidP="000B690E">
            <w:pPr>
              <w:pStyle w:val="Default"/>
              <w:jc w:val="center"/>
              <w:rPr>
                <w:b/>
                <w:sz w:val="20"/>
                <w:szCs w:val="20"/>
              </w:rPr>
            </w:pPr>
            <w:r w:rsidRPr="008C65B3">
              <w:rPr>
                <w:b/>
                <w:sz w:val="20"/>
                <w:szCs w:val="20"/>
              </w:rPr>
              <w:t>n</w:t>
            </w:r>
          </w:p>
        </w:tc>
        <w:tc>
          <w:tcPr>
            <w:tcW w:w="1134" w:type="dxa"/>
            <w:tcBorders>
              <w:left w:val="nil"/>
              <w:bottom w:val="nil"/>
              <w:right w:val="nil"/>
            </w:tcBorders>
            <w:vAlign w:val="center"/>
          </w:tcPr>
          <w:p w:rsidR="009B1C3E" w:rsidRPr="008C65B3" w:rsidRDefault="009B1C3E" w:rsidP="000B690E">
            <w:pPr>
              <w:pStyle w:val="Default"/>
              <w:jc w:val="center"/>
              <w:rPr>
                <w:b/>
                <w:sz w:val="20"/>
                <w:szCs w:val="20"/>
              </w:rPr>
            </w:pPr>
            <w:r w:rsidRPr="008C65B3">
              <w:rPr>
                <w:b/>
                <w:sz w:val="20"/>
                <w:szCs w:val="20"/>
              </w:rPr>
              <w:t>%</w:t>
            </w:r>
          </w:p>
        </w:tc>
        <w:tc>
          <w:tcPr>
            <w:tcW w:w="1134" w:type="dxa"/>
            <w:tcBorders>
              <w:top w:val="nil"/>
              <w:left w:val="nil"/>
              <w:bottom w:val="nil"/>
              <w:right w:val="nil"/>
            </w:tcBorders>
            <w:vAlign w:val="center"/>
          </w:tcPr>
          <w:p w:rsidR="009B1C3E" w:rsidRPr="008C65B3" w:rsidRDefault="009B1C3E" w:rsidP="000B690E">
            <w:pPr>
              <w:pStyle w:val="Default"/>
              <w:jc w:val="center"/>
              <w:rPr>
                <w:b/>
                <w:sz w:val="20"/>
                <w:szCs w:val="20"/>
              </w:rPr>
            </w:pPr>
            <w:r w:rsidRPr="008C65B3">
              <w:rPr>
                <w:b/>
                <w:sz w:val="20"/>
                <w:szCs w:val="20"/>
              </w:rPr>
              <w:t>n</w:t>
            </w:r>
          </w:p>
        </w:tc>
        <w:tc>
          <w:tcPr>
            <w:tcW w:w="992" w:type="dxa"/>
            <w:tcBorders>
              <w:top w:val="nil"/>
              <w:left w:val="nil"/>
              <w:bottom w:val="nil"/>
              <w:right w:val="nil"/>
            </w:tcBorders>
            <w:vAlign w:val="center"/>
          </w:tcPr>
          <w:p w:rsidR="009B1C3E" w:rsidRPr="008C65B3" w:rsidRDefault="009B1C3E" w:rsidP="000B690E">
            <w:pPr>
              <w:pStyle w:val="Default"/>
              <w:jc w:val="center"/>
              <w:rPr>
                <w:b/>
                <w:sz w:val="20"/>
                <w:szCs w:val="20"/>
              </w:rPr>
            </w:pPr>
            <w:r w:rsidRPr="008C65B3">
              <w:rPr>
                <w:b/>
                <w:sz w:val="20"/>
                <w:szCs w:val="20"/>
              </w:rPr>
              <w:t>%</w:t>
            </w:r>
          </w:p>
        </w:tc>
        <w:tc>
          <w:tcPr>
            <w:tcW w:w="709" w:type="dxa"/>
            <w:vMerge/>
            <w:tcBorders>
              <w:left w:val="nil"/>
              <w:bottom w:val="nil"/>
              <w:right w:val="nil"/>
            </w:tcBorders>
            <w:vAlign w:val="center"/>
          </w:tcPr>
          <w:p w:rsidR="009B1C3E" w:rsidRPr="008C65B3" w:rsidRDefault="009B1C3E" w:rsidP="000B690E">
            <w:pPr>
              <w:pStyle w:val="Default"/>
              <w:jc w:val="center"/>
              <w:rPr>
                <w:b/>
                <w:sz w:val="20"/>
                <w:szCs w:val="20"/>
              </w:rPr>
            </w:pPr>
          </w:p>
        </w:tc>
        <w:tc>
          <w:tcPr>
            <w:tcW w:w="1021" w:type="dxa"/>
            <w:vMerge/>
            <w:tcBorders>
              <w:left w:val="nil"/>
              <w:bottom w:val="nil"/>
              <w:right w:val="nil"/>
            </w:tcBorders>
          </w:tcPr>
          <w:p w:rsidR="009B1C3E" w:rsidRPr="008C65B3" w:rsidRDefault="009B1C3E" w:rsidP="000B690E">
            <w:pPr>
              <w:pStyle w:val="Default"/>
              <w:jc w:val="both"/>
              <w:rPr>
                <w:b/>
                <w:sz w:val="20"/>
                <w:szCs w:val="20"/>
              </w:rPr>
            </w:pP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Riwayat Keturunan</w:t>
            </w: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3</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10.0%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14</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46.7%</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17</w:t>
            </w:r>
          </w:p>
        </w:tc>
        <w:tc>
          <w:tcPr>
            <w:tcW w:w="1021" w:type="dxa"/>
            <w:tcBorders>
              <w:top w:val="nil"/>
              <w:left w:val="nil"/>
              <w:bottom w:val="nil"/>
              <w:right w:val="nil"/>
            </w:tcBorders>
          </w:tcPr>
          <w:p w:rsidR="00603DB9" w:rsidRPr="008C65B3" w:rsidRDefault="002D6822" w:rsidP="000B690E">
            <w:pPr>
              <w:pStyle w:val="Default"/>
              <w:jc w:val="both"/>
              <w:rPr>
                <w:sz w:val="20"/>
                <w:szCs w:val="20"/>
              </w:rPr>
            </w:pPr>
            <w:r w:rsidRPr="008C65B3">
              <w:rPr>
                <w:sz w:val="20"/>
                <w:szCs w:val="20"/>
              </w:rPr>
              <w:t>0,003</w:t>
            </w: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Ya</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3.3%</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12</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40.0%</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13</w:t>
            </w:r>
          </w:p>
        </w:tc>
        <w:tc>
          <w:tcPr>
            <w:tcW w:w="1021" w:type="dxa"/>
            <w:tcBorders>
              <w:top w:val="nil"/>
              <w:left w:val="nil"/>
              <w:bottom w:val="nil"/>
              <w:right w:val="nil"/>
            </w:tcBorders>
          </w:tcPr>
          <w:p w:rsidR="00603DB9" w:rsidRPr="008C65B3" w:rsidRDefault="00603DB9" w:rsidP="000B690E">
            <w:pPr>
              <w:pStyle w:val="Default"/>
              <w:jc w:val="both"/>
              <w:rPr>
                <w:b/>
                <w:sz w:val="20"/>
                <w:szCs w:val="20"/>
              </w:rPr>
            </w:pP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Melahirkan&gt; 4 Kg</w:t>
            </w: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4</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13.3%</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26</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86.7%</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30</w:t>
            </w:r>
          </w:p>
        </w:tc>
        <w:tc>
          <w:tcPr>
            <w:tcW w:w="1021" w:type="dxa"/>
            <w:tcBorders>
              <w:top w:val="nil"/>
              <w:left w:val="nil"/>
              <w:bottom w:val="nil"/>
              <w:right w:val="nil"/>
            </w:tcBorders>
          </w:tcPr>
          <w:p w:rsidR="00603DB9" w:rsidRPr="008C65B3" w:rsidRDefault="002D6822" w:rsidP="000B690E">
            <w:pPr>
              <w:pStyle w:val="Default"/>
              <w:jc w:val="both"/>
              <w:rPr>
                <w:sz w:val="20"/>
                <w:szCs w:val="20"/>
              </w:rPr>
            </w:pPr>
            <w:r w:rsidRPr="008C65B3">
              <w:rPr>
                <w:sz w:val="20"/>
                <w:szCs w:val="20"/>
              </w:rPr>
              <w:t>0,552</w:t>
            </w: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Ya</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709" w:type="dxa"/>
            <w:tcBorders>
              <w:top w:val="nil"/>
              <w:left w:val="nil"/>
              <w:bottom w:val="nil"/>
              <w:right w:val="nil"/>
            </w:tcBorders>
            <w:vAlign w:val="center"/>
          </w:tcPr>
          <w:p w:rsidR="00603DB9" w:rsidRPr="008C65B3" w:rsidRDefault="00AB37AF" w:rsidP="00603DB9">
            <w:pPr>
              <w:pStyle w:val="Default"/>
              <w:jc w:val="center"/>
              <w:rPr>
                <w:sz w:val="20"/>
                <w:szCs w:val="20"/>
              </w:rPr>
            </w:pPr>
            <w:r w:rsidRPr="008C65B3">
              <w:rPr>
                <w:sz w:val="20"/>
                <w:szCs w:val="20"/>
              </w:rPr>
              <w:t>0</w:t>
            </w:r>
          </w:p>
        </w:tc>
        <w:tc>
          <w:tcPr>
            <w:tcW w:w="1021" w:type="dxa"/>
            <w:tcBorders>
              <w:top w:val="nil"/>
              <w:left w:val="nil"/>
              <w:bottom w:val="nil"/>
              <w:right w:val="nil"/>
            </w:tcBorders>
          </w:tcPr>
          <w:p w:rsidR="00603DB9" w:rsidRPr="008C65B3" w:rsidRDefault="00603DB9" w:rsidP="000B690E">
            <w:pPr>
              <w:pStyle w:val="Default"/>
              <w:jc w:val="both"/>
              <w:rPr>
                <w:b/>
                <w:sz w:val="20"/>
                <w:szCs w:val="20"/>
              </w:rPr>
            </w:pP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Riwayat PCOS</w:t>
            </w: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4</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13.3%</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26</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86.7%</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30</w:t>
            </w:r>
          </w:p>
        </w:tc>
        <w:tc>
          <w:tcPr>
            <w:tcW w:w="1021" w:type="dxa"/>
            <w:tcBorders>
              <w:top w:val="nil"/>
              <w:left w:val="nil"/>
              <w:bottom w:val="nil"/>
              <w:right w:val="nil"/>
            </w:tcBorders>
          </w:tcPr>
          <w:p w:rsidR="00603DB9" w:rsidRPr="008C65B3" w:rsidRDefault="002D6822" w:rsidP="000B690E">
            <w:pPr>
              <w:pStyle w:val="Default"/>
              <w:jc w:val="both"/>
              <w:rPr>
                <w:sz w:val="20"/>
                <w:szCs w:val="20"/>
              </w:rPr>
            </w:pPr>
            <w:r w:rsidRPr="008C65B3">
              <w:rPr>
                <w:sz w:val="20"/>
                <w:szCs w:val="20"/>
              </w:rPr>
              <w:t>0,552</w:t>
            </w: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Ya</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709" w:type="dxa"/>
            <w:tcBorders>
              <w:top w:val="nil"/>
              <w:left w:val="nil"/>
              <w:bottom w:val="nil"/>
              <w:right w:val="nil"/>
            </w:tcBorders>
            <w:vAlign w:val="center"/>
          </w:tcPr>
          <w:p w:rsidR="00603DB9" w:rsidRPr="008C65B3" w:rsidRDefault="00AB37AF" w:rsidP="00603DB9">
            <w:pPr>
              <w:pStyle w:val="Default"/>
              <w:jc w:val="center"/>
              <w:rPr>
                <w:sz w:val="20"/>
                <w:szCs w:val="20"/>
              </w:rPr>
            </w:pPr>
            <w:r w:rsidRPr="008C65B3">
              <w:rPr>
                <w:sz w:val="20"/>
                <w:szCs w:val="20"/>
              </w:rPr>
              <w:t>0</w:t>
            </w:r>
          </w:p>
        </w:tc>
        <w:tc>
          <w:tcPr>
            <w:tcW w:w="1021" w:type="dxa"/>
            <w:tcBorders>
              <w:top w:val="nil"/>
              <w:left w:val="nil"/>
              <w:bottom w:val="nil"/>
              <w:right w:val="nil"/>
            </w:tcBorders>
          </w:tcPr>
          <w:p w:rsidR="00603DB9" w:rsidRPr="008C65B3" w:rsidRDefault="00603DB9" w:rsidP="000B690E">
            <w:pPr>
              <w:pStyle w:val="Default"/>
              <w:jc w:val="both"/>
              <w:rPr>
                <w:b/>
                <w:sz w:val="20"/>
                <w:szCs w:val="20"/>
              </w:rPr>
            </w:pP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Asam</w:t>
            </w:r>
            <w:r w:rsidR="00885BCE" w:rsidRPr="008C65B3">
              <w:rPr>
                <w:rFonts w:ascii="Times New Roman" w:hAnsi="Times New Roman" w:cs="Times New Roman"/>
                <w:sz w:val="20"/>
                <w:szCs w:val="20"/>
              </w:rPr>
              <w:t xml:space="preserve"> </w:t>
            </w:r>
            <w:r w:rsidRPr="008C65B3">
              <w:rPr>
                <w:rFonts w:ascii="Times New Roman" w:hAnsi="Times New Roman" w:cs="Times New Roman"/>
                <w:sz w:val="20"/>
                <w:szCs w:val="20"/>
              </w:rPr>
              <w:t>Urat</w:t>
            </w: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2</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6.7%</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22</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73.3%</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24</w:t>
            </w:r>
          </w:p>
        </w:tc>
        <w:tc>
          <w:tcPr>
            <w:tcW w:w="1021" w:type="dxa"/>
            <w:tcBorders>
              <w:top w:val="nil"/>
              <w:left w:val="nil"/>
              <w:bottom w:val="nil"/>
              <w:right w:val="nil"/>
            </w:tcBorders>
          </w:tcPr>
          <w:p w:rsidR="00603DB9" w:rsidRPr="008C65B3" w:rsidRDefault="00885BCE" w:rsidP="000B690E">
            <w:pPr>
              <w:pStyle w:val="Default"/>
              <w:jc w:val="both"/>
              <w:rPr>
                <w:sz w:val="20"/>
                <w:szCs w:val="20"/>
              </w:rPr>
            </w:pPr>
            <w:r w:rsidRPr="008C65B3">
              <w:rPr>
                <w:sz w:val="20"/>
                <w:szCs w:val="20"/>
              </w:rPr>
              <w:t>0,063</w:t>
            </w: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Ya</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2</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6.7%</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4</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13.3%</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6</w:t>
            </w:r>
          </w:p>
        </w:tc>
        <w:tc>
          <w:tcPr>
            <w:tcW w:w="1021" w:type="dxa"/>
            <w:tcBorders>
              <w:top w:val="nil"/>
              <w:left w:val="nil"/>
              <w:bottom w:val="nil"/>
              <w:right w:val="nil"/>
            </w:tcBorders>
          </w:tcPr>
          <w:p w:rsidR="00603DB9" w:rsidRPr="008C65B3" w:rsidRDefault="00603DB9" w:rsidP="000B690E">
            <w:pPr>
              <w:pStyle w:val="Default"/>
              <w:jc w:val="both"/>
              <w:rPr>
                <w:b/>
                <w:sz w:val="20"/>
                <w:szCs w:val="20"/>
              </w:rPr>
            </w:pP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Kolesterol</w:t>
            </w: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&lt; 200</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4</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13.3%</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22</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73.3%</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26</w:t>
            </w:r>
          </w:p>
        </w:tc>
        <w:tc>
          <w:tcPr>
            <w:tcW w:w="1021" w:type="dxa"/>
            <w:tcBorders>
              <w:top w:val="nil"/>
              <w:left w:val="nil"/>
              <w:bottom w:val="nil"/>
              <w:right w:val="nil"/>
            </w:tcBorders>
          </w:tcPr>
          <w:p w:rsidR="00603DB9" w:rsidRPr="008C65B3" w:rsidRDefault="00885BCE" w:rsidP="000B690E">
            <w:pPr>
              <w:pStyle w:val="Default"/>
              <w:jc w:val="both"/>
              <w:rPr>
                <w:sz w:val="20"/>
                <w:szCs w:val="20"/>
              </w:rPr>
            </w:pPr>
            <w:r w:rsidRPr="008C65B3">
              <w:rPr>
                <w:sz w:val="20"/>
                <w:szCs w:val="20"/>
              </w:rPr>
              <w:t>0,002</w:t>
            </w: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200-239</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3</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10.0%</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3</w:t>
            </w:r>
          </w:p>
        </w:tc>
        <w:tc>
          <w:tcPr>
            <w:tcW w:w="1021" w:type="dxa"/>
            <w:tcBorders>
              <w:top w:val="nil"/>
              <w:left w:val="nil"/>
              <w:bottom w:val="nil"/>
              <w:right w:val="nil"/>
            </w:tcBorders>
          </w:tcPr>
          <w:p w:rsidR="00603DB9" w:rsidRPr="008C65B3" w:rsidRDefault="00603DB9" w:rsidP="000B690E">
            <w:pPr>
              <w:pStyle w:val="Default"/>
              <w:jc w:val="both"/>
              <w:rPr>
                <w:b/>
                <w:sz w:val="20"/>
                <w:szCs w:val="20"/>
              </w:rPr>
            </w:pP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&gt; 240</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0.0%</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3.3%</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1</w:t>
            </w:r>
          </w:p>
        </w:tc>
        <w:tc>
          <w:tcPr>
            <w:tcW w:w="1021" w:type="dxa"/>
            <w:tcBorders>
              <w:top w:val="nil"/>
              <w:left w:val="nil"/>
              <w:bottom w:val="nil"/>
              <w:right w:val="nil"/>
            </w:tcBorders>
          </w:tcPr>
          <w:p w:rsidR="00603DB9" w:rsidRPr="008C65B3" w:rsidRDefault="00603DB9" w:rsidP="000B690E">
            <w:pPr>
              <w:pStyle w:val="Default"/>
              <w:jc w:val="both"/>
              <w:rPr>
                <w:b/>
                <w:sz w:val="20"/>
                <w:szCs w:val="20"/>
              </w:rPr>
            </w:pP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Riwayat Penyakit Pembuluh Darah</w:t>
            </w: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 xml:space="preserve"> Tidak</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2</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6.7%</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17</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56.7%</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19</w:t>
            </w:r>
          </w:p>
        </w:tc>
        <w:tc>
          <w:tcPr>
            <w:tcW w:w="1021" w:type="dxa"/>
            <w:tcBorders>
              <w:top w:val="nil"/>
              <w:left w:val="nil"/>
              <w:bottom w:val="nil"/>
              <w:right w:val="nil"/>
            </w:tcBorders>
          </w:tcPr>
          <w:p w:rsidR="00603DB9" w:rsidRPr="008C65B3" w:rsidRDefault="00885BCE" w:rsidP="000B690E">
            <w:pPr>
              <w:pStyle w:val="Default"/>
              <w:jc w:val="both"/>
              <w:rPr>
                <w:sz w:val="20"/>
                <w:szCs w:val="20"/>
              </w:rPr>
            </w:pPr>
            <w:r w:rsidRPr="008C65B3">
              <w:rPr>
                <w:sz w:val="20"/>
                <w:szCs w:val="20"/>
              </w:rPr>
              <w:t>0,074</w:t>
            </w:r>
          </w:p>
        </w:tc>
      </w:tr>
      <w:tr w:rsidR="00603DB9" w:rsidRPr="008C65B3" w:rsidTr="00AB37AF">
        <w:tc>
          <w:tcPr>
            <w:tcW w:w="264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p>
        </w:tc>
        <w:tc>
          <w:tcPr>
            <w:tcW w:w="1152" w:type="dxa"/>
            <w:tcBorders>
              <w:top w:val="nil"/>
              <w:left w:val="nil"/>
              <w:bottom w:val="nil"/>
              <w:right w:val="nil"/>
            </w:tcBorders>
          </w:tcPr>
          <w:p w:rsidR="00603DB9" w:rsidRPr="008C65B3" w:rsidRDefault="00603DB9" w:rsidP="00AB37AF">
            <w:pPr>
              <w:rPr>
                <w:rFonts w:ascii="Times New Roman" w:hAnsi="Times New Roman" w:cs="Times New Roman"/>
                <w:sz w:val="20"/>
                <w:szCs w:val="20"/>
              </w:rPr>
            </w:pPr>
            <w:r w:rsidRPr="008C65B3">
              <w:rPr>
                <w:rFonts w:ascii="Times New Roman" w:hAnsi="Times New Roman" w:cs="Times New Roman"/>
                <w:sz w:val="20"/>
                <w:szCs w:val="20"/>
              </w:rPr>
              <w:t>Ya</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2</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6.7%</w:t>
            </w:r>
          </w:p>
        </w:tc>
        <w:tc>
          <w:tcPr>
            <w:tcW w:w="1134"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9</w:t>
            </w:r>
          </w:p>
        </w:tc>
        <w:tc>
          <w:tcPr>
            <w:tcW w:w="992" w:type="dxa"/>
            <w:tcBorders>
              <w:top w:val="nil"/>
              <w:left w:val="nil"/>
              <w:bottom w:val="nil"/>
              <w:right w:val="nil"/>
            </w:tcBorders>
          </w:tcPr>
          <w:p w:rsidR="00603DB9" w:rsidRPr="008C65B3" w:rsidRDefault="00603DB9" w:rsidP="00AB37AF">
            <w:pPr>
              <w:jc w:val="center"/>
              <w:rPr>
                <w:rFonts w:ascii="Times New Roman" w:hAnsi="Times New Roman" w:cs="Times New Roman"/>
                <w:sz w:val="20"/>
                <w:szCs w:val="20"/>
              </w:rPr>
            </w:pPr>
            <w:r w:rsidRPr="008C65B3">
              <w:rPr>
                <w:rFonts w:ascii="Times New Roman" w:hAnsi="Times New Roman" w:cs="Times New Roman"/>
                <w:sz w:val="20"/>
                <w:szCs w:val="20"/>
              </w:rPr>
              <w:t>30.0%</w:t>
            </w:r>
          </w:p>
        </w:tc>
        <w:tc>
          <w:tcPr>
            <w:tcW w:w="709" w:type="dxa"/>
            <w:tcBorders>
              <w:top w:val="nil"/>
              <w:left w:val="nil"/>
              <w:bottom w:val="nil"/>
              <w:right w:val="nil"/>
            </w:tcBorders>
            <w:vAlign w:val="center"/>
          </w:tcPr>
          <w:p w:rsidR="00603DB9" w:rsidRPr="008C65B3" w:rsidRDefault="00603DB9" w:rsidP="00603DB9">
            <w:pPr>
              <w:pStyle w:val="Default"/>
              <w:jc w:val="center"/>
              <w:rPr>
                <w:sz w:val="20"/>
                <w:szCs w:val="20"/>
              </w:rPr>
            </w:pPr>
            <w:r w:rsidRPr="008C65B3">
              <w:rPr>
                <w:sz w:val="20"/>
                <w:szCs w:val="20"/>
              </w:rPr>
              <w:t>11</w:t>
            </w:r>
          </w:p>
        </w:tc>
        <w:tc>
          <w:tcPr>
            <w:tcW w:w="1021" w:type="dxa"/>
            <w:tcBorders>
              <w:top w:val="nil"/>
              <w:left w:val="nil"/>
              <w:bottom w:val="nil"/>
              <w:right w:val="nil"/>
            </w:tcBorders>
          </w:tcPr>
          <w:p w:rsidR="00603DB9" w:rsidRPr="008C65B3" w:rsidRDefault="00603DB9" w:rsidP="000B690E">
            <w:pPr>
              <w:pStyle w:val="Default"/>
              <w:jc w:val="both"/>
              <w:rPr>
                <w:b/>
                <w:sz w:val="20"/>
                <w:szCs w:val="20"/>
              </w:rPr>
            </w:pPr>
          </w:p>
        </w:tc>
      </w:tr>
    </w:tbl>
    <w:p w:rsidR="009B1C3E" w:rsidRPr="008C65B3" w:rsidRDefault="009B1C3E" w:rsidP="00B56144">
      <w:pPr>
        <w:pStyle w:val="Default"/>
        <w:jc w:val="both"/>
        <w:rPr>
          <w:b/>
          <w:sz w:val="20"/>
          <w:szCs w:val="20"/>
        </w:rPr>
      </w:pPr>
    </w:p>
    <w:p w:rsidR="00885BCE" w:rsidRPr="008C65B3" w:rsidRDefault="00885BCE" w:rsidP="00885BCE">
      <w:pPr>
        <w:pStyle w:val="HTMLPreformatted"/>
        <w:shd w:val="clear" w:color="auto" w:fill="F8F9FA"/>
        <w:jc w:val="both"/>
        <w:rPr>
          <w:rFonts w:ascii="Times New Roman" w:hAnsi="Times New Roman" w:cs="Times New Roman"/>
          <w:color w:val="222222"/>
        </w:rPr>
      </w:pPr>
      <w:r w:rsidRPr="008C65B3">
        <w:rPr>
          <w:rFonts w:ascii="Times New Roman" w:hAnsi="Times New Roman" w:cs="Times New Roman"/>
          <w:color w:val="222222"/>
        </w:rPr>
        <w:t>Tiga</w:t>
      </w:r>
      <w:r w:rsidRPr="008C65B3">
        <w:rPr>
          <w:rFonts w:ascii="Times New Roman" w:hAnsi="Times New Roman" w:cs="Times New Roman"/>
          <w:color w:val="222222"/>
          <w:lang w:val="id-ID"/>
        </w:rPr>
        <w:t xml:space="preserve"> variabel, yang tidak menunjukkan signifikan</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hubungan statistik dengan pra-diabetes / diabetes adalah</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 xml:space="preserve"> </w:t>
      </w:r>
      <w:r w:rsidRPr="008C65B3">
        <w:rPr>
          <w:rFonts w:ascii="Times New Roman" w:hAnsi="Times New Roman" w:cs="Times New Roman"/>
          <w:color w:val="222222"/>
        </w:rPr>
        <w:t>melahirkan &gt;</w:t>
      </w:r>
      <w:r w:rsidR="00DE4EBA" w:rsidRPr="008C65B3">
        <w:rPr>
          <w:rFonts w:ascii="Times New Roman" w:hAnsi="Times New Roman" w:cs="Times New Roman"/>
          <w:color w:val="222222"/>
        </w:rPr>
        <w:t xml:space="preserve"> 4 kg (p=0,552), </w:t>
      </w:r>
      <w:r w:rsidRPr="008C65B3">
        <w:rPr>
          <w:rFonts w:ascii="Times New Roman" w:hAnsi="Times New Roman" w:cs="Times New Roman"/>
          <w:color w:val="222222"/>
        </w:rPr>
        <w:t xml:space="preserve">riwayat PCOS </w:t>
      </w:r>
      <w:r w:rsidRPr="008C65B3">
        <w:rPr>
          <w:rFonts w:ascii="Times New Roman" w:hAnsi="Times New Roman" w:cs="Times New Roman"/>
          <w:color w:val="222222"/>
          <w:lang w:val="id-ID"/>
        </w:rPr>
        <w:t>(p = 0,</w:t>
      </w:r>
      <w:r w:rsidR="00DE4EBA" w:rsidRPr="008C65B3">
        <w:rPr>
          <w:rFonts w:ascii="Times New Roman" w:hAnsi="Times New Roman" w:cs="Times New Roman"/>
          <w:color w:val="222222"/>
        </w:rPr>
        <w:t>552</w:t>
      </w:r>
      <w:r w:rsidRPr="008C65B3">
        <w:rPr>
          <w:rFonts w:ascii="Times New Roman" w:hAnsi="Times New Roman" w:cs="Times New Roman"/>
          <w:color w:val="222222"/>
          <w:lang w:val="id-ID"/>
        </w:rPr>
        <w:t>)</w:t>
      </w:r>
      <w:r w:rsidR="00DE4EBA" w:rsidRPr="008C65B3">
        <w:rPr>
          <w:rFonts w:ascii="Times New Roman" w:hAnsi="Times New Roman" w:cs="Times New Roman"/>
          <w:color w:val="222222"/>
        </w:rPr>
        <w:t xml:space="preserve">, asam urat (p=0,063) dan riwayat penyakit pembuluh </w:t>
      </w:r>
      <w:r w:rsidR="00DE4EBA" w:rsidRPr="008C65B3">
        <w:rPr>
          <w:rFonts w:ascii="Times New Roman" w:hAnsi="Times New Roman" w:cs="Times New Roman"/>
          <w:color w:val="222222"/>
        </w:rPr>
        <w:lastRenderedPageBreak/>
        <w:t>darah (p= 0,074).</w:t>
      </w:r>
      <w:r w:rsidRPr="008C65B3">
        <w:rPr>
          <w:rFonts w:ascii="Times New Roman" w:hAnsi="Times New Roman" w:cs="Times New Roman"/>
          <w:color w:val="222222"/>
        </w:rPr>
        <w:t xml:space="preserve"> </w:t>
      </w:r>
      <w:r w:rsidRPr="008C65B3">
        <w:rPr>
          <w:rFonts w:ascii="Times New Roman" w:hAnsi="Times New Roman" w:cs="Times New Roman"/>
          <w:color w:val="222222"/>
          <w:lang w:val="id-ID"/>
        </w:rPr>
        <w:t xml:space="preserve">Itu terjadi karena proporsi </w:t>
      </w:r>
      <w:r w:rsidRPr="008C65B3">
        <w:rPr>
          <w:rFonts w:ascii="Times New Roman" w:hAnsi="Times New Roman" w:cs="Times New Roman"/>
          <w:color w:val="222222"/>
        </w:rPr>
        <w:t>responden diketahui</w:t>
      </w:r>
      <w:r w:rsidR="00DE4EBA" w:rsidRPr="008C65B3">
        <w:rPr>
          <w:rFonts w:ascii="Times New Roman" w:hAnsi="Times New Roman" w:cs="Times New Roman"/>
          <w:color w:val="222222"/>
        </w:rPr>
        <w:t xml:space="preserve"> tidak mempunyai riwayat melahirkan &gt; 4 kg</w:t>
      </w:r>
      <w:r w:rsidRPr="008C65B3">
        <w:rPr>
          <w:rFonts w:ascii="Times New Roman" w:hAnsi="Times New Roman" w:cs="Times New Roman"/>
          <w:color w:val="222222"/>
        </w:rPr>
        <w:t>, responden tidak mempunyai riwayat PCOS</w:t>
      </w:r>
      <w:r w:rsidR="00DE4EBA" w:rsidRPr="008C65B3">
        <w:rPr>
          <w:rFonts w:ascii="Times New Roman" w:hAnsi="Times New Roman" w:cs="Times New Roman"/>
          <w:color w:val="222222"/>
        </w:rPr>
        <w:t xml:space="preserve">, penyakit asam urat karena pola makan </w:t>
      </w:r>
      <w:r w:rsidRPr="008C65B3">
        <w:rPr>
          <w:rFonts w:ascii="Times New Roman" w:hAnsi="Times New Roman" w:cs="Times New Roman"/>
          <w:color w:val="222222"/>
        </w:rPr>
        <w:t xml:space="preserve"> dan riwayat </w:t>
      </w:r>
      <w:r w:rsidR="00DE4EBA" w:rsidRPr="008C65B3">
        <w:rPr>
          <w:rFonts w:ascii="Times New Roman" w:hAnsi="Times New Roman" w:cs="Times New Roman"/>
          <w:color w:val="222222"/>
        </w:rPr>
        <w:t>penyakit pembuluh darah masih dalam kategori keluhan ringan.</w:t>
      </w:r>
    </w:p>
    <w:p w:rsidR="00DE4EBA" w:rsidRPr="008C65B3" w:rsidRDefault="00DE4EBA" w:rsidP="00885BCE">
      <w:pPr>
        <w:pStyle w:val="HTMLPreformatted"/>
        <w:shd w:val="clear" w:color="auto" w:fill="F8F9FA"/>
        <w:jc w:val="both"/>
        <w:rPr>
          <w:rFonts w:ascii="Times New Roman" w:hAnsi="Times New Roman" w:cs="Times New Roman"/>
          <w:color w:val="222222"/>
        </w:rPr>
      </w:pPr>
    </w:p>
    <w:p w:rsidR="00DE4EBA" w:rsidRDefault="00DE4EBA" w:rsidP="00885BCE">
      <w:pPr>
        <w:pStyle w:val="HTMLPreformatted"/>
        <w:shd w:val="clear" w:color="auto" w:fill="F8F9FA"/>
        <w:jc w:val="both"/>
        <w:rPr>
          <w:rFonts w:ascii="Times New Roman" w:hAnsi="Times New Roman" w:cs="Times New Roman"/>
          <w:color w:val="222222"/>
          <w:sz w:val="24"/>
          <w:szCs w:val="24"/>
        </w:rPr>
      </w:pPr>
    </w:p>
    <w:p w:rsidR="00885BCE" w:rsidRDefault="00885BCE" w:rsidP="00B56144">
      <w:pPr>
        <w:pStyle w:val="Default"/>
        <w:jc w:val="both"/>
        <w:rPr>
          <w:rFonts w:eastAsia="Times New Roman"/>
          <w:color w:val="222222"/>
        </w:rPr>
      </w:pPr>
    </w:p>
    <w:p w:rsidR="00BE7C71" w:rsidRPr="008C65B3" w:rsidRDefault="00DE4EBA" w:rsidP="00B56144">
      <w:pPr>
        <w:pStyle w:val="Default"/>
        <w:jc w:val="both"/>
        <w:rPr>
          <w:rFonts w:eastAsia="Times New Roman"/>
          <w:b/>
          <w:color w:val="222222"/>
          <w:sz w:val="20"/>
          <w:szCs w:val="20"/>
        </w:rPr>
      </w:pPr>
      <w:r w:rsidRPr="008C65B3">
        <w:rPr>
          <w:rFonts w:eastAsia="Times New Roman"/>
          <w:b/>
          <w:color w:val="222222"/>
          <w:sz w:val="20"/>
          <w:szCs w:val="20"/>
        </w:rPr>
        <w:t>Pembahasan</w:t>
      </w:r>
    </w:p>
    <w:p w:rsidR="00DE4EBA" w:rsidRPr="008C65B3" w:rsidRDefault="00DE4EBA" w:rsidP="00B56144">
      <w:pPr>
        <w:pStyle w:val="Default"/>
        <w:jc w:val="both"/>
        <w:rPr>
          <w:rFonts w:eastAsia="Times New Roman"/>
          <w:b/>
          <w:color w:val="222222"/>
          <w:sz w:val="20"/>
          <w:szCs w:val="20"/>
        </w:rPr>
      </w:pPr>
      <w:r w:rsidRPr="008C65B3">
        <w:rPr>
          <w:rFonts w:eastAsia="Times New Roman"/>
          <w:b/>
          <w:color w:val="222222"/>
          <w:sz w:val="20"/>
          <w:szCs w:val="20"/>
        </w:rPr>
        <w:t xml:space="preserve"> </w:t>
      </w:r>
    </w:p>
    <w:p w:rsidR="00BC0593" w:rsidRPr="008C65B3" w:rsidRDefault="00BE7C71" w:rsidP="00B56144">
      <w:pPr>
        <w:pStyle w:val="Default"/>
        <w:jc w:val="both"/>
        <w:rPr>
          <w:rFonts w:eastAsia="Times New Roman"/>
          <w:b/>
          <w:color w:val="222222"/>
          <w:sz w:val="20"/>
          <w:szCs w:val="20"/>
        </w:rPr>
      </w:pPr>
      <w:r w:rsidRPr="008C65B3">
        <w:rPr>
          <w:rFonts w:eastAsia="Times New Roman"/>
          <w:b/>
          <w:color w:val="222222"/>
          <w:sz w:val="20"/>
          <w:szCs w:val="20"/>
        </w:rPr>
        <w:t>Pr</w:t>
      </w:r>
      <w:r w:rsidR="00703D95" w:rsidRPr="008C65B3">
        <w:rPr>
          <w:rFonts w:eastAsia="Times New Roman"/>
          <w:b/>
          <w:color w:val="222222"/>
          <w:sz w:val="20"/>
          <w:szCs w:val="20"/>
        </w:rPr>
        <w:t xml:space="preserve">evalensi Prediabetes/Diabetes </w:t>
      </w:r>
    </w:p>
    <w:p w:rsidR="006634E7" w:rsidRPr="008C65B3" w:rsidRDefault="002212D2" w:rsidP="007D14F6">
      <w:pPr>
        <w:autoSpaceDE w:val="0"/>
        <w:autoSpaceDN w:val="0"/>
        <w:adjustRightInd w:val="0"/>
        <w:spacing w:after="0" w:line="240" w:lineRule="auto"/>
        <w:jc w:val="both"/>
        <w:rPr>
          <w:rFonts w:ascii="Times New Roman" w:hAnsi="Times New Roman" w:cs="Times New Roman"/>
          <w:color w:val="222222"/>
          <w:sz w:val="20"/>
          <w:szCs w:val="20"/>
        </w:rPr>
      </w:pPr>
      <w:r w:rsidRPr="008C65B3">
        <w:rPr>
          <w:rFonts w:ascii="Times New Roman" w:hAnsi="Times New Roman" w:cs="Times New Roman"/>
          <w:color w:val="222222"/>
          <w:sz w:val="20"/>
          <w:szCs w:val="20"/>
          <w:lang w:val="id-ID"/>
        </w:rPr>
        <w:t>Prevalensi prediabetes (Gangguan Toleransi Glukosa)</w:t>
      </w:r>
      <w:r w:rsidRPr="008C65B3">
        <w:rPr>
          <w:rFonts w:ascii="Times New Roman" w:hAnsi="Times New Roman" w:cs="Times New Roman"/>
          <w:color w:val="222222"/>
          <w:sz w:val="20"/>
          <w:szCs w:val="20"/>
        </w:rPr>
        <w:t xml:space="preserve"> </w:t>
      </w:r>
      <w:r w:rsidRPr="008C65B3">
        <w:rPr>
          <w:rFonts w:ascii="Times New Roman" w:hAnsi="Times New Roman" w:cs="Times New Roman"/>
          <w:color w:val="222222"/>
          <w:sz w:val="20"/>
          <w:szCs w:val="20"/>
          <w:lang w:val="id-ID"/>
        </w:rPr>
        <w:t xml:space="preserve">untuk </w:t>
      </w:r>
      <w:r w:rsidRPr="008C65B3">
        <w:rPr>
          <w:rFonts w:ascii="Times New Roman" w:hAnsi="Times New Roman" w:cs="Times New Roman"/>
          <w:color w:val="222222"/>
          <w:sz w:val="20"/>
          <w:szCs w:val="20"/>
        </w:rPr>
        <w:t>lansia</w:t>
      </w:r>
      <w:r w:rsidRPr="008C65B3">
        <w:rPr>
          <w:rFonts w:ascii="Times New Roman" w:hAnsi="Times New Roman" w:cs="Times New Roman"/>
          <w:color w:val="222222"/>
          <w:sz w:val="20"/>
          <w:szCs w:val="20"/>
          <w:lang w:val="id-ID"/>
        </w:rPr>
        <w:t xml:space="preserve"> di </w:t>
      </w:r>
      <w:r w:rsidRPr="008C65B3">
        <w:rPr>
          <w:rFonts w:ascii="Times New Roman" w:hAnsi="Times New Roman" w:cs="Times New Roman"/>
          <w:color w:val="222222"/>
          <w:sz w:val="20"/>
          <w:szCs w:val="20"/>
        </w:rPr>
        <w:t xml:space="preserve">wilayah pegunungan </w:t>
      </w:r>
      <w:r w:rsidRPr="008C65B3">
        <w:rPr>
          <w:rFonts w:ascii="Times New Roman" w:hAnsi="Times New Roman" w:cs="Times New Roman"/>
          <w:color w:val="222222"/>
          <w:sz w:val="20"/>
          <w:szCs w:val="20"/>
          <w:lang w:val="id-ID"/>
        </w:rPr>
        <w:t xml:space="preserve">adalah </w:t>
      </w:r>
      <w:r w:rsidRPr="008C65B3">
        <w:rPr>
          <w:rFonts w:ascii="Times New Roman" w:hAnsi="Times New Roman" w:cs="Times New Roman"/>
          <w:color w:val="222222"/>
          <w:sz w:val="20"/>
          <w:szCs w:val="20"/>
        </w:rPr>
        <w:t>83,3</w:t>
      </w:r>
      <w:r w:rsidRPr="008C65B3">
        <w:rPr>
          <w:rFonts w:ascii="Times New Roman" w:hAnsi="Times New Roman" w:cs="Times New Roman"/>
          <w:color w:val="222222"/>
          <w:sz w:val="20"/>
          <w:szCs w:val="20"/>
          <w:lang w:val="id-ID"/>
        </w:rPr>
        <w:t>%</w:t>
      </w:r>
      <w:r w:rsidRPr="008C65B3">
        <w:rPr>
          <w:rFonts w:ascii="Times New Roman" w:hAnsi="Times New Roman" w:cs="Times New Roman"/>
          <w:color w:val="222222"/>
          <w:sz w:val="20"/>
          <w:szCs w:val="20"/>
        </w:rPr>
        <w:t>, di wilayah pesisir adalah 43,4%, dan di wilayah perkotaan adalah 73,4%</w:t>
      </w:r>
      <w:r w:rsidRPr="008C65B3">
        <w:rPr>
          <w:rFonts w:ascii="Times New Roman" w:hAnsi="Times New Roman" w:cs="Times New Roman"/>
          <w:color w:val="222222"/>
          <w:sz w:val="20"/>
          <w:szCs w:val="20"/>
          <w:lang w:val="id-ID"/>
        </w:rPr>
        <w:t xml:space="preserve">. </w:t>
      </w:r>
      <w:r w:rsidRPr="008C65B3">
        <w:rPr>
          <w:rFonts w:ascii="Times New Roman" w:hAnsi="Times New Roman" w:cs="Times New Roman"/>
          <w:sz w:val="20"/>
          <w:szCs w:val="20"/>
        </w:rPr>
        <w:t xml:space="preserve">Perbedaan prevalensi prediabetes ini kemungkinan disebabkan oleh perbedaan ras/ etnis dan pola makan antara pegunungan, pesisir dan perkotaan. </w:t>
      </w:r>
      <w:r w:rsidR="00F84A23" w:rsidRPr="008C65B3">
        <w:rPr>
          <w:rFonts w:ascii="Times New Roman" w:hAnsi="Times New Roman" w:cs="Times New Roman"/>
          <w:color w:val="222222"/>
          <w:sz w:val="20"/>
          <w:szCs w:val="20"/>
          <w:lang w:val="id-ID"/>
        </w:rPr>
        <w:t>Prevalensi diabetes bervariasi</w:t>
      </w:r>
      <w:r w:rsidR="00F84A23" w:rsidRPr="008C65B3">
        <w:rPr>
          <w:rFonts w:ascii="Times New Roman" w:hAnsi="Times New Roman" w:cs="Times New Roman"/>
          <w:color w:val="222222"/>
          <w:sz w:val="20"/>
          <w:szCs w:val="20"/>
        </w:rPr>
        <w:t xml:space="preserve"> dalam satu </w:t>
      </w:r>
      <w:r w:rsidR="00F84A23" w:rsidRPr="008C65B3">
        <w:rPr>
          <w:rFonts w:ascii="Times New Roman" w:hAnsi="Times New Roman" w:cs="Times New Roman"/>
          <w:color w:val="222222"/>
          <w:sz w:val="20"/>
          <w:szCs w:val="20"/>
          <w:lang w:val="id-ID"/>
        </w:rPr>
        <w:t xml:space="preserve">negara, </w:t>
      </w:r>
      <w:r w:rsidR="00F84A23" w:rsidRPr="008C65B3">
        <w:rPr>
          <w:rFonts w:ascii="Times New Roman" w:hAnsi="Times New Roman" w:cs="Times New Roman"/>
          <w:color w:val="222222"/>
          <w:sz w:val="20"/>
          <w:szCs w:val="20"/>
        </w:rPr>
        <w:t xml:space="preserve">dari </w:t>
      </w:r>
      <w:r w:rsidR="00F84A23" w:rsidRPr="008C65B3">
        <w:rPr>
          <w:rFonts w:ascii="Times New Roman" w:hAnsi="Times New Roman" w:cs="Times New Roman"/>
          <w:color w:val="222222"/>
          <w:sz w:val="20"/>
          <w:szCs w:val="20"/>
          <w:lang w:val="id-ID"/>
        </w:rPr>
        <w:t>antar provinsi atau antar</w:t>
      </w:r>
      <w:r w:rsidR="00F84A23" w:rsidRPr="008C65B3">
        <w:rPr>
          <w:rFonts w:ascii="Times New Roman" w:hAnsi="Times New Roman" w:cs="Times New Roman"/>
          <w:color w:val="222222"/>
          <w:sz w:val="20"/>
          <w:szCs w:val="20"/>
        </w:rPr>
        <w:t xml:space="preserve"> </w:t>
      </w:r>
      <w:r w:rsidR="00F84A23" w:rsidRPr="008C65B3">
        <w:rPr>
          <w:rFonts w:ascii="Times New Roman" w:hAnsi="Times New Roman" w:cs="Times New Roman"/>
          <w:color w:val="222222"/>
          <w:sz w:val="20"/>
          <w:szCs w:val="20"/>
          <w:lang w:val="id-ID"/>
        </w:rPr>
        <w:t>daerah. Itu dipengaruhi oleh beberapa</w:t>
      </w:r>
      <w:r w:rsidR="00F84A23" w:rsidRPr="008C65B3">
        <w:rPr>
          <w:rFonts w:ascii="Times New Roman" w:hAnsi="Times New Roman" w:cs="Times New Roman"/>
          <w:color w:val="222222"/>
          <w:sz w:val="20"/>
          <w:szCs w:val="20"/>
        </w:rPr>
        <w:t xml:space="preserve"> faktor</w:t>
      </w:r>
      <w:r w:rsidR="00F84A23" w:rsidRPr="008C65B3">
        <w:rPr>
          <w:rFonts w:ascii="Times New Roman" w:hAnsi="Times New Roman" w:cs="Times New Roman"/>
          <w:color w:val="222222"/>
          <w:sz w:val="20"/>
          <w:szCs w:val="20"/>
          <w:lang w:val="id-ID"/>
        </w:rPr>
        <w:t>, yaitu pertumbuhan ekonomi, sosial-budaya</w:t>
      </w:r>
      <w:r w:rsidR="00F84A23" w:rsidRPr="008C65B3">
        <w:rPr>
          <w:rFonts w:ascii="Times New Roman" w:hAnsi="Times New Roman" w:cs="Times New Roman"/>
          <w:color w:val="222222"/>
          <w:sz w:val="20"/>
          <w:szCs w:val="20"/>
        </w:rPr>
        <w:t xml:space="preserve"> </w:t>
      </w:r>
      <w:r w:rsidR="00F84A23" w:rsidRPr="008C65B3">
        <w:rPr>
          <w:rFonts w:ascii="Times New Roman" w:hAnsi="Times New Roman" w:cs="Times New Roman"/>
          <w:color w:val="222222"/>
          <w:sz w:val="20"/>
          <w:szCs w:val="20"/>
          <w:lang w:val="id-ID"/>
        </w:rPr>
        <w:t>kondisi</w:t>
      </w:r>
      <w:r w:rsidR="00426C1C" w:rsidRPr="008C65B3">
        <w:rPr>
          <w:rFonts w:ascii="Times New Roman" w:hAnsi="Times New Roman" w:cs="Times New Roman"/>
          <w:color w:val="222222"/>
          <w:sz w:val="20"/>
          <w:szCs w:val="20"/>
          <w:lang w:val="id-ID"/>
        </w:rPr>
        <w:t>, modernisasi, dan urbanisasi.</w:t>
      </w:r>
      <w:r w:rsidR="00AD53B0" w:rsidRPr="008C65B3">
        <w:rPr>
          <w:rFonts w:ascii="Times New Roman" w:hAnsi="Times New Roman" w:cs="Times New Roman"/>
          <w:color w:val="222222"/>
          <w:sz w:val="20"/>
          <w:szCs w:val="20"/>
          <w:vertAlign w:val="superscript"/>
        </w:rPr>
        <w:t xml:space="preserve">25 </w:t>
      </w:r>
      <w:r w:rsidR="00F84A23" w:rsidRPr="008C65B3">
        <w:rPr>
          <w:rFonts w:ascii="Times New Roman" w:hAnsi="Times New Roman" w:cs="Times New Roman"/>
          <w:color w:val="222222"/>
          <w:sz w:val="20"/>
          <w:szCs w:val="20"/>
          <w:lang w:val="id-ID"/>
        </w:rPr>
        <w:t>Banyak</w:t>
      </w:r>
      <w:r w:rsidR="00F84A23" w:rsidRPr="008C65B3">
        <w:rPr>
          <w:rFonts w:ascii="Times New Roman" w:hAnsi="Times New Roman" w:cs="Times New Roman"/>
          <w:color w:val="222222"/>
          <w:sz w:val="20"/>
          <w:szCs w:val="20"/>
        </w:rPr>
        <w:t xml:space="preserve"> </w:t>
      </w:r>
      <w:r w:rsidR="00F84A23" w:rsidRPr="008C65B3">
        <w:rPr>
          <w:rFonts w:ascii="Times New Roman" w:hAnsi="Times New Roman" w:cs="Times New Roman"/>
          <w:color w:val="222222"/>
          <w:sz w:val="20"/>
          <w:szCs w:val="20"/>
          <w:lang w:val="id-ID"/>
        </w:rPr>
        <w:t>Negara-negara Asia (negara berkembang) yang dalam</w:t>
      </w:r>
      <w:r w:rsidR="00F84A23" w:rsidRPr="008C65B3">
        <w:rPr>
          <w:rFonts w:ascii="Times New Roman" w:hAnsi="Times New Roman" w:cs="Times New Roman"/>
          <w:color w:val="222222"/>
          <w:sz w:val="20"/>
          <w:szCs w:val="20"/>
        </w:rPr>
        <w:t xml:space="preserve"> </w:t>
      </w:r>
      <w:r w:rsidR="00F84A23" w:rsidRPr="008C65B3">
        <w:rPr>
          <w:rFonts w:ascii="Times New Roman" w:hAnsi="Times New Roman" w:cs="Times New Roman"/>
          <w:color w:val="222222"/>
          <w:sz w:val="20"/>
          <w:szCs w:val="20"/>
          <w:lang w:val="id-ID"/>
        </w:rPr>
        <w:t xml:space="preserve">dekade terakhir cenderung memiliki pertumbuhan budaya sosial-ekonomi yang sangat cepat, memiliki peningkatan prevalensi </w:t>
      </w:r>
      <w:r w:rsidR="00D0518F" w:rsidRPr="008C65B3">
        <w:rPr>
          <w:rFonts w:ascii="Times New Roman" w:hAnsi="Times New Roman" w:cs="Times New Roman"/>
          <w:color w:val="222222"/>
          <w:sz w:val="20"/>
          <w:szCs w:val="20"/>
        </w:rPr>
        <w:t xml:space="preserve">diabetes </w:t>
      </w:r>
      <w:r w:rsidR="00F84A23" w:rsidRPr="008C65B3">
        <w:rPr>
          <w:rFonts w:ascii="Times New Roman" w:hAnsi="Times New Roman" w:cs="Times New Roman"/>
          <w:color w:val="222222"/>
          <w:sz w:val="20"/>
          <w:szCs w:val="20"/>
          <w:lang w:val="id-ID"/>
        </w:rPr>
        <w:t>yang tinggi.</w:t>
      </w:r>
      <w:r w:rsidR="00AD53B0" w:rsidRPr="008C65B3">
        <w:rPr>
          <w:rFonts w:ascii="Times New Roman" w:hAnsi="Times New Roman" w:cs="Times New Roman"/>
          <w:color w:val="222222"/>
          <w:sz w:val="20"/>
          <w:szCs w:val="20"/>
          <w:vertAlign w:val="superscript"/>
        </w:rPr>
        <w:t>5</w:t>
      </w:r>
      <w:r w:rsidR="00426C1C" w:rsidRPr="008C65B3">
        <w:rPr>
          <w:rFonts w:ascii="Times New Roman" w:hAnsi="Times New Roman" w:cs="Times New Roman"/>
          <w:color w:val="222222"/>
          <w:sz w:val="20"/>
          <w:szCs w:val="20"/>
          <w:vertAlign w:val="superscript"/>
        </w:rPr>
        <w:t>-</w:t>
      </w:r>
      <w:r w:rsidR="00AD53B0" w:rsidRPr="008C65B3">
        <w:rPr>
          <w:rFonts w:ascii="Times New Roman" w:hAnsi="Times New Roman" w:cs="Times New Roman"/>
          <w:color w:val="222222"/>
          <w:sz w:val="20"/>
          <w:szCs w:val="20"/>
          <w:vertAlign w:val="superscript"/>
        </w:rPr>
        <w:t>25</w:t>
      </w:r>
      <w:r w:rsidR="00F84A23" w:rsidRPr="008C65B3">
        <w:rPr>
          <w:rFonts w:ascii="Times New Roman" w:hAnsi="Times New Roman" w:cs="Times New Roman"/>
          <w:color w:val="222222"/>
          <w:sz w:val="20"/>
          <w:szCs w:val="20"/>
          <w:lang w:val="id-ID"/>
        </w:rPr>
        <w:t xml:space="preserve"> </w:t>
      </w:r>
      <w:r w:rsidR="00063BEB" w:rsidRPr="008C65B3">
        <w:rPr>
          <w:rFonts w:ascii="Times New Roman" w:hAnsi="Times New Roman" w:cs="Times New Roman"/>
          <w:color w:val="222222"/>
          <w:sz w:val="20"/>
          <w:szCs w:val="20"/>
          <w:lang w:val="id-ID"/>
        </w:rPr>
        <w:t xml:space="preserve">Perubahan pola dari subjek normal menjadi pra-diabetes, kemudian menjadi diabetes sangat dipengaruhi oleh </w:t>
      </w:r>
      <w:r w:rsidR="00073BCC" w:rsidRPr="008C65B3">
        <w:rPr>
          <w:rFonts w:ascii="Times New Roman" w:hAnsi="Times New Roman" w:cs="Times New Roman"/>
          <w:color w:val="222222"/>
          <w:sz w:val="20"/>
          <w:szCs w:val="20"/>
        </w:rPr>
        <w:t>bertambahnya usia, riwayat hipertensi, obesitas, aktifitas, dan merokok</w:t>
      </w:r>
      <w:r w:rsidR="00B926C9" w:rsidRPr="008C65B3">
        <w:rPr>
          <w:rFonts w:ascii="Times New Roman" w:hAnsi="Times New Roman" w:cs="Times New Roman"/>
          <w:color w:val="222222"/>
          <w:sz w:val="20"/>
          <w:szCs w:val="20"/>
        </w:rPr>
        <w:t xml:space="preserve">, sedangkan faktor resikonya adalah riwayat keturunan, pernah melahirkan &gt; 4 kg, </w:t>
      </w:r>
      <w:r w:rsidR="00BD1A4C" w:rsidRPr="008C65B3">
        <w:rPr>
          <w:rFonts w:ascii="Times New Roman" w:hAnsi="Times New Roman" w:cs="Times New Roman"/>
          <w:color w:val="222222"/>
          <w:sz w:val="20"/>
          <w:szCs w:val="20"/>
        </w:rPr>
        <w:t>riwayat PCOS, kolesterol, asam urat, dan riwayat penyakit pembuluh darah</w:t>
      </w:r>
      <w:r w:rsidR="00073BCC" w:rsidRPr="008C65B3">
        <w:rPr>
          <w:rFonts w:ascii="Times New Roman" w:hAnsi="Times New Roman" w:cs="Times New Roman"/>
          <w:color w:val="222222"/>
          <w:sz w:val="20"/>
          <w:szCs w:val="20"/>
        </w:rPr>
        <w:t>.</w:t>
      </w:r>
      <w:r w:rsidR="00AD53B0" w:rsidRPr="008C65B3">
        <w:rPr>
          <w:rFonts w:ascii="Times New Roman" w:hAnsi="Times New Roman" w:cs="Times New Roman"/>
          <w:color w:val="222222"/>
          <w:sz w:val="20"/>
          <w:szCs w:val="20"/>
          <w:vertAlign w:val="superscript"/>
        </w:rPr>
        <w:t>26</w:t>
      </w:r>
      <w:r w:rsidR="00073BCC" w:rsidRPr="008C65B3">
        <w:rPr>
          <w:rFonts w:ascii="Times New Roman" w:hAnsi="Times New Roman" w:cs="Times New Roman"/>
          <w:color w:val="222222"/>
          <w:sz w:val="20"/>
          <w:szCs w:val="20"/>
          <w:vertAlign w:val="superscript"/>
        </w:rPr>
        <w:t xml:space="preserve"> </w:t>
      </w:r>
      <w:r w:rsidR="00063BEB" w:rsidRPr="008C65B3">
        <w:rPr>
          <w:rFonts w:ascii="Times New Roman" w:hAnsi="Times New Roman" w:cs="Times New Roman"/>
          <w:color w:val="222222"/>
          <w:sz w:val="20"/>
          <w:szCs w:val="20"/>
          <w:lang w:val="id-ID"/>
        </w:rPr>
        <w:t xml:space="preserve">Pola perkembangan ini juga bisa dilihat dalam penelitian ini. Di </w:t>
      </w:r>
      <w:r w:rsidR="00B926C9" w:rsidRPr="008C65B3">
        <w:rPr>
          <w:rFonts w:ascii="Times New Roman" w:hAnsi="Times New Roman" w:cs="Times New Roman"/>
          <w:color w:val="222222"/>
          <w:sz w:val="20"/>
          <w:szCs w:val="20"/>
        </w:rPr>
        <w:t xml:space="preserve">wilayah pegunungan karakteristik prediabetes/diabetes </w:t>
      </w:r>
      <w:r w:rsidR="00BD1A4C" w:rsidRPr="008C65B3">
        <w:rPr>
          <w:rFonts w:ascii="Times New Roman" w:hAnsi="Times New Roman" w:cs="Times New Roman"/>
          <w:color w:val="222222"/>
          <w:sz w:val="20"/>
          <w:szCs w:val="20"/>
        </w:rPr>
        <w:t>adalah jenis kelamin perempuan, umur antara 40-54 tahun, mempunyai riwayat hipertensi, obesitas dan faktor resiko yang tertinggi adalah kolesterol, asam urat dan punya riwayat melahirkan &gt; 4 kg.</w:t>
      </w:r>
      <w:r w:rsidRPr="008C65B3">
        <w:rPr>
          <w:rFonts w:ascii="Times New Roman" w:hAnsi="Times New Roman" w:cs="Times New Roman"/>
          <w:color w:val="222222"/>
          <w:sz w:val="20"/>
          <w:szCs w:val="20"/>
        </w:rPr>
        <w:t xml:space="preserve"> Diwilayah pesisir </w:t>
      </w:r>
      <w:r w:rsidR="00BE7C71" w:rsidRPr="008C65B3">
        <w:rPr>
          <w:rFonts w:ascii="Times New Roman" w:hAnsi="Times New Roman" w:cs="Times New Roman"/>
          <w:color w:val="222222"/>
          <w:sz w:val="20"/>
          <w:szCs w:val="20"/>
        </w:rPr>
        <w:t xml:space="preserve">karakteristik prediabetes/diabetes adalah jenis kelamin perempuan, umur antara 40-54 tahun, mempunyai riwayat hipertensi, dan faktor resiko yang tertinggi adalah kolesterol, asam urat dan punya riwayatpenyakit pembuluh darah. Diwilayah perkotaan karakteristik prediabetes/diabetes adalah jenis kelamin perempuan, umur antara 40-54 tahun, obesitas, kecenderungan kurang aktifitas dan faktor resiko yang tertinggi adalah kolesterol, dan riwayat keturunan. </w:t>
      </w:r>
    </w:p>
    <w:p w:rsidR="00BE7C71" w:rsidRPr="008C65B3" w:rsidRDefault="00BE7C71" w:rsidP="007D14F6">
      <w:pPr>
        <w:autoSpaceDE w:val="0"/>
        <w:autoSpaceDN w:val="0"/>
        <w:adjustRightInd w:val="0"/>
        <w:spacing w:after="0" w:line="240" w:lineRule="auto"/>
        <w:jc w:val="both"/>
        <w:rPr>
          <w:rFonts w:ascii="Times New Roman" w:hAnsi="Times New Roman" w:cs="Times New Roman"/>
          <w:color w:val="222222"/>
          <w:sz w:val="20"/>
          <w:szCs w:val="20"/>
        </w:rPr>
      </w:pPr>
    </w:p>
    <w:p w:rsidR="00BE7C71" w:rsidRPr="008C65B3" w:rsidRDefault="00BE7C71" w:rsidP="007D14F6">
      <w:pPr>
        <w:autoSpaceDE w:val="0"/>
        <w:autoSpaceDN w:val="0"/>
        <w:adjustRightInd w:val="0"/>
        <w:spacing w:after="0" w:line="240" w:lineRule="auto"/>
        <w:jc w:val="both"/>
        <w:rPr>
          <w:rFonts w:ascii="Times New Roman" w:hAnsi="Times New Roman" w:cs="Times New Roman"/>
          <w:b/>
          <w:color w:val="222222"/>
          <w:sz w:val="20"/>
          <w:szCs w:val="20"/>
        </w:rPr>
      </w:pPr>
      <w:r w:rsidRPr="008C65B3">
        <w:rPr>
          <w:rFonts w:ascii="Times New Roman" w:hAnsi="Times New Roman" w:cs="Times New Roman"/>
          <w:b/>
          <w:color w:val="222222"/>
          <w:sz w:val="20"/>
          <w:szCs w:val="20"/>
        </w:rPr>
        <w:t>Karakteristik Prediabetes/Diabetes</w:t>
      </w:r>
    </w:p>
    <w:p w:rsidR="00C10452" w:rsidRPr="008C65B3" w:rsidRDefault="00DF1FDB" w:rsidP="007D14F6">
      <w:pPr>
        <w:autoSpaceDE w:val="0"/>
        <w:autoSpaceDN w:val="0"/>
        <w:adjustRightInd w:val="0"/>
        <w:spacing w:after="0" w:line="240" w:lineRule="auto"/>
        <w:jc w:val="both"/>
        <w:rPr>
          <w:rFonts w:ascii="Times New Roman" w:hAnsi="Times New Roman" w:cs="Times New Roman"/>
          <w:sz w:val="20"/>
          <w:szCs w:val="20"/>
          <w:lang w:bidi="ar-SA"/>
        </w:rPr>
      </w:pPr>
      <w:r w:rsidRPr="008C65B3">
        <w:rPr>
          <w:rStyle w:val="A12"/>
          <w:rFonts w:ascii="Times New Roman" w:hAnsi="Times New Roman" w:cs="Times New Roman"/>
          <w:sz w:val="20"/>
          <w:szCs w:val="20"/>
        </w:rPr>
        <w:t xml:space="preserve">Berdasarkan karakteristik umur, dapat dilihat bahwa proporsi prediabetes hampir merata pada semua wilayah, </w:t>
      </w:r>
      <w:r w:rsidR="00BE7C71" w:rsidRPr="008C65B3">
        <w:rPr>
          <w:rFonts w:ascii="Times New Roman" w:hAnsi="Times New Roman" w:cs="Times New Roman"/>
          <w:sz w:val="20"/>
          <w:szCs w:val="20"/>
        </w:rPr>
        <w:t xml:space="preserve">Prediabetes banyak terjadi pada responden adalah yang berumur 40-54 tahun. </w:t>
      </w:r>
      <w:r w:rsidR="00FA7E23" w:rsidRPr="008C65B3">
        <w:rPr>
          <w:rFonts w:ascii="Times New Roman" w:hAnsi="Times New Roman" w:cs="Times New Roman"/>
          <w:sz w:val="20"/>
          <w:szCs w:val="20"/>
          <w:lang w:bidi="ar-SA"/>
        </w:rPr>
        <w:t xml:space="preserve">Individu dengan usia lanjut lebih berpotensi diklasifikasikan memiliki kadar glukosa abnormal menurut </w:t>
      </w:r>
      <w:r w:rsidR="00FA7E23" w:rsidRPr="008C65B3">
        <w:rPr>
          <w:rFonts w:ascii="Times New Roman" w:eastAsia="Calibri-Italic" w:hAnsi="Times New Roman" w:cs="Times New Roman"/>
          <w:i/>
          <w:iCs/>
          <w:sz w:val="20"/>
          <w:szCs w:val="20"/>
          <w:lang w:bidi="ar-SA"/>
        </w:rPr>
        <w:t xml:space="preserve">cut-off </w:t>
      </w:r>
      <w:r w:rsidR="00FA7E23" w:rsidRPr="008C65B3">
        <w:rPr>
          <w:rFonts w:ascii="Times New Roman" w:hAnsi="Times New Roman" w:cs="Times New Roman"/>
          <w:sz w:val="20"/>
          <w:szCs w:val="20"/>
          <w:lang w:bidi="ar-SA"/>
        </w:rPr>
        <w:t>yang ada dibandingkan dewasa muda.</w:t>
      </w:r>
      <w:r w:rsidR="00AD53B0" w:rsidRPr="008C65B3">
        <w:rPr>
          <w:rFonts w:ascii="Times New Roman" w:hAnsi="Times New Roman" w:cs="Times New Roman"/>
          <w:sz w:val="20"/>
          <w:szCs w:val="20"/>
          <w:vertAlign w:val="superscript"/>
          <w:lang w:bidi="ar-SA"/>
        </w:rPr>
        <w:t>15</w:t>
      </w:r>
      <w:r w:rsidR="00AC1BD8" w:rsidRPr="008C65B3">
        <w:rPr>
          <w:rFonts w:ascii="Times New Roman" w:hAnsi="Times New Roman" w:cs="Times New Roman"/>
          <w:sz w:val="20"/>
          <w:szCs w:val="20"/>
          <w:vertAlign w:val="superscript"/>
          <w:lang w:bidi="ar-SA"/>
        </w:rPr>
        <w:t xml:space="preserve"> </w:t>
      </w:r>
      <w:r w:rsidR="007D14F6" w:rsidRPr="008C65B3">
        <w:rPr>
          <w:rFonts w:ascii="Times New Roman" w:hAnsi="Times New Roman" w:cs="Times New Roman"/>
          <w:sz w:val="20"/>
          <w:szCs w:val="20"/>
        </w:rPr>
        <w:t>U</w:t>
      </w:r>
      <w:r w:rsidR="00AC1BD8" w:rsidRPr="008C65B3">
        <w:rPr>
          <w:rFonts w:ascii="Times New Roman" w:hAnsi="Times New Roman" w:cs="Times New Roman"/>
          <w:sz w:val="20"/>
          <w:szCs w:val="20"/>
        </w:rPr>
        <w:t xml:space="preserve">sia yang semakin tua maka akan meningkatkan risiko DM yaitu dimulai dari usia 35 hingga lebih dari 65 tahun. </w:t>
      </w:r>
      <w:r w:rsidR="009B223C" w:rsidRPr="008C65B3">
        <w:rPr>
          <w:rFonts w:ascii="Times New Roman" w:hAnsi="Times New Roman" w:cs="Times New Roman"/>
          <w:sz w:val="20"/>
          <w:szCs w:val="20"/>
        </w:rPr>
        <w:t>Mekanisme DM tipe 2 diketahui bahwa penuaan menurunkan sensitivitas insulin dan perubahan atau tidak cukup kompensasi fungsional sel beta dalam memproduksi insulin.</w:t>
      </w:r>
      <w:r w:rsidR="00AD53B0" w:rsidRPr="008C65B3">
        <w:rPr>
          <w:rFonts w:ascii="Times New Roman" w:hAnsi="Times New Roman" w:cs="Times New Roman"/>
          <w:sz w:val="20"/>
          <w:szCs w:val="20"/>
          <w:vertAlign w:val="superscript"/>
        </w:rPr>
        <w:t>19</w:t>
      </w:r>
      <w:r w:rsidR="009B223C" w:rsidRPr="008C65B3">
        <w:rPr>
          <w:rFonts w:ascii="Times New Roman" w:hAnsi="Times New Roman" w:cs="Times New Roman"/>
          <w:sz w:val="20"/>
          <w:szCs w:val="20"/>
          <w:vertAlign w:val="superscript"/>
        </w:rPr>
        <w:t xml:space="preserve"> </w:t>
      </w:r>
      <w:r w:rsidR="00AC1BD8" w:rsidRPr="008C65B3">
        <w:rPr>
          <w:rFonts w:ascii="Times New Roman" w:hAnsi="Times New Roman" w:cs="Times New Roman"/>
          <w:sz w:val="20"/>
          <w:szCs w:val="20"/>
        </w:rPr>
        <w:t>Usia paruh baya memiliki faktor risiko 8.90 kali terkena DM dibandingkan dengan usia dewasa pada masyarakat perdesaan dan perkotaan di Amerika Serikat.</w:t>
      </w:r>
      <w:r w:rsidR="00AD53B0" w:rsidRPr="008C65B3">
        <w:rPr>
          <w:rFonts w:ascii="Times New Roman" w:hAnsi="Times New Roman" w:cs="Times New Roman"/>
          <w:sz w:val="20"/>
          <w:szCs w:val="20"/>
          <w:vertAlign w:val="superscript"/>
        </w:rPr>
        <w:t>22</w:t>
      </w:r>
    </w:p>
    <w:p w:rsidR="006634E7" w:rsidRPr="008C65B3" w:rsidRDefault="006634E7" w:rsidP="007D14F6">
      <w:pPr>
        <w:autoSpaceDE w:val="0"/>
        <w:autoSpaceDN w:val="0"/>
        <w:adjustRightInd w:val="0"/>
        <w:spacing w:after="0" w:line="240" w:lineRule="auto"/>
        <w:jc w:val="both"/>
        <w:rPr>
          <w:rFonts w:ascii="Times New Roman" w:hAnsi="Times New Roman" w:cs="Times New Roman"/>
          <w:sz w:val="20"/>
          <w:szCs w:val="20"/>
          <w:lang w:bidi="ar-SA"/>
        </w:rPr>
      </w:pPr>
    </w:p>
    <w:p w:rsidR="00CC02AC" w:rsidRPr="008C65B3" w:rsidRDefault="00826CC5" w:rsidP="00CC02AC">
      <w:pPr>
        <w:tabs>
          <w:tab w:val="left" w:pos="426"/>
        </w:tabs>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Subjek yang mengalami prediabetes di wilayah pegunungan selain memiliki gula darah puasa yang lebih tinggi juga mempunyai, tekanan darah tinggi dan obesitas. Hal ini senada dengan beberapa penelitian sebelumnya bahwa seseorang dengan prediabetes sering mempunyai faktor risiko penyakit kardiovaskular seperti hipertensi, dislipidemia dan obesitas. Keadaan demikian mengakibatkan prediabetes dianggap sebagai faktor risiko kardiovaskular juga.</w:t>
      </w:r>
      <w:r w:rsidR="00AD53B0" w:rsidRPr="008C65B3">
        <w:rPr>
          <w:rFonts w:ascii="Times New Roman" w:hAnsi="Times New Roman" w:cs="Times New Roman"/>
          <w:sz w:val="20"/>
          <w:szCs w:val="20"/>
          <w:vertAlign w:val="superscript"/>
        </w:rPr>
        <w:t>2</w:t>
      </w:r>
      <w:r w:rsidRPr="008C65B3">
        <w:rPr>
          <w:rFonts w:ascii="Times New Roman" w:hAnsi="Times New Roman" w:cs="Times New Roman"/>
          <w:sz w:val="20"/>
          <w:szCs w:val="20"/>
          <w:lang w:bidi="ar-SA"/>
        </w:rPr>
        <w:t xml:space="preserve"> </w:t>
      </w:r>
      <w:r w:rsidR="008316AA" w:rsidRPr="008C65B3">
        <w:rPr>
          <w:rFonts w:ascii="Times New Roman" w:hAnsi="Times New Roman" w:cs="Times New Roman"/>
          <w:sz w:val="20"/>
          <w:szCs w:val="20"/>
        </w:rPr>
        <w:t xml:space="preserve">DM dan hipertensi merupakan coexisting. Faktor yang berkontribusi terhadap peningkatan koeksistensi DM dan hipertensi antara lain adalah obesitas. </w:t>
      </w:r>
      <w:r w:rsidR="008316AA" w:rsidRPr="008C65B3">
        <w:rPr>
          <w:rFonts w:ascii="Times New Roman" w:hAnsi="Times New Roman" w:cs="Times New Roman"/>
          <w:sz w:val="20"/>
          <w:szCs w:val="20"/>
          <w:vertAlign w:val="superscript"/>
        </w:rPr>
        <w:t>1</w:t>
      </w:r>
      <w:r w:rsidR="00AD53B0" w:rsidRPr="008C65B3">
        <w:rPr>
          <w:rFonts w:ascii="Times New Roman" w:hAnsi="Times New Roman" w:cs="Times New Roman"/>
          <w:sz w:val="20"/>
          <w:szCs w:val="20"/>
          <w:vertAlign w:val="superscript"/>
        </w:rPr>
        <w:t>8</w:t>
      </w:r>
      <w:r w:rsidR="008316AA" w:rsidRPr="008C65B3">
        <w:rPr>
          <w:rFonts w:ascii="Times New Roman" w:hAnsi="Times New Roman" w:cs="Times New Roman"/>
          <w:sz w:val="20"/>
          <w:szCs w:val="20"/>
        </w:rPr>
        <w:t xml:space="preserve"> </w:t>
      </w:r>
      <w:r w:rsidR="007D14F6" w:rsidRPr="008C65B3">
        <w:rPr>
          <w:rFonts w:ascii="Times New Roman" w:hAnsi="Times New Roman" w:cs="Times New Roman"/>
          <w:sz w:val="20"/>
          <w:szCs w:val="20"/>
        </w:rPr>
        <w:t xml:space="preserve">Kebiasaan pola makan dimasyarakat pedesaan banyak mengkonsumsi daging, </w:t>
      </w:r>
      <w:r w:rsidR="00021857" w:rsidRPr="008C65B3">
        <w:rPr>
          <w:rFonts w:ascii="Times New Roman" w:hAnsi="Times New Roman" w:cs="Times New Roman"/>
          <w:sz w:val="20"/>
          <w:szCs w:val="20"/>
        </w:rPr>
        <w:t>ka</w:t>
      </w:r>
      <w:r w:rsidR="00722F91" w:rsidRPr="008C65B3">
        <w:rPr>
          <w:rFonts w:ascii="Times New Roman" w:hAnsi="Times New Roman" w:cs="Times New Roman"/>
          <w:sz w:val="20"/>
          <w:szCs w:val="20"/>
        </w:rPr>
        <w:t xml:space="preserve">rena tradisi </w:t>
      </w:r>
      <w:r w:rsidR="00021857" w:rsidRPr="008C65B3">
        <w:rPr>
          <w:rFonts w:ascii="Times New Roman" w:hAnsi="Times New Roman" w:cs="Times New Roman"/>
          <w:sz w:val="20"/>
          <w:szCs w:val="20"/>
        </w:rPr>
        <w:t>upacara adat</w:t>
      </w:r>
      <w:r w:rsidR="006214A6" w:rsidRPr="008C65B3">
        <w:rPr>
          <w:rFonts w:ascii="Times New Roman" w:hAnsi="Times New Roman" w:cs="Times New Roman"/>
          <w:sz w:val="20"/>
          <w:szCs w:val="20"/>
        </w:rPr>
        <w:t xml:space="preserve"> suku tengger setiap ada upacara keagamaan</w:t>
      </w:r>
      <w:r w:rsidR="00722F91" w:rsidRPr="008C65B3">
        <w:rPr>
          <w:rFonts w:ascii="Times New Roman" w:hAnsi="Times New Roman" w:cs="Times New Roman"/>
          <w:sz w:val="20"/>
          <w:szCs w:val="20"/>
        </w:rPr>
        <w:t xml:space="preserve"> selalu mengkonsumsi daging sapi yang harus dihabiskan bersama keluarga dan kerabat dekat</w:t>
      </w:r>
      <w:r w:rsidR="006214A6" w:rsidRPr="008C65B3">
        <w:rPr>
          <w:rFonts w:ascii="Times New Roman" w:hAnsi="Times New Roman" w:cs="Times New Roman"/>
          <w:sz w:val="20"/>
          <w:szCs w:val="20"/>
        </w:rPr>
        <w:t>.</w:t>
      </w:r>
      <w:r w:rsidR="007D14F6" w:rsidRPr="008C65B3">
        <w:rPr>
          <w:rFonts w:ascii="Times New Roman" w:hAnsi="Times New Roman" w:cs="Times New Roman"/>
          <w:sz w:val="20"/>
          <w:szCs w:val="20"/>
        </w:rPr>
        <w:t xml:space="preserve"> </w:t>
      </w:r>
      <w:r w:rsidR="00586674" w:rsidRPr="008C65B3">
        <w:rPr>
          <w:rFonts w:ascii="Times New Roman" w:hAnsi="Times New Roman" w:cs="Times New Roman"/>
          <w:sz w:val="20"/>
          <w:szCs w:val="20"/>
        </w:rPr>
        <w:t xml:space="preserve">Selain itu pada masyarakat pegunungan mempunyai kebiasaan minum kopi manis hangat yang dikonsumsi sehari-hari bisa 3-4 kali sehari untuk upaya menghangatkan tubuh karena cuaca yang dingin. </w:t>
      </w:r>
      <w:r w:rsidR="00CC02AC" w:rsidRPr="008C65B3">
        <w:rPr>
          <w:rStyle w:val="A12"/>
          <w:rFonts w:ascii="Times New Roman" w:hAnsi="Times New Roman" w:cs="Times New Roman"/>
          <w:sz w:val="20"/>
          <w:szCs w:val="20"/>
        </w:rPr>
        <w:t>Sejumlah studi menunjukkan bahwa konsumsi kopi dapat meningkatkan risiko diabetes dalam keadaan akut tetapi bersifat protektif bila secara rutin.</w:t>
      </w:r>
      <w:r w:rsidR="00840C10" w:rsidRPr="008C65B3">
        <w:rPr>
          <w:rStyle w:val="A12"/>
          <w:rFonts w:ascii="Times New Roman" w:hAnsi="Times New Roman" w:cs="Times New Roman"/>
          <w:sz w:val="20"/>
          <w:szCs w:val="20"/>
          <w:vertAlign w:val="superscript"/>
        </w:rPr>
        <w:t>3-6</w:t>
      </w:r>
    </w:p>
    <w:p w:rsidR="00586674" w:rsidRPr="008C65B3" w:rsidRDefault="007D14F6" w:rsidP="009B223C">
      <w:pPr>
        <w:tabs>
          <w:tab w:val="left" w:pos="426"/>
        </w:tabs>
        <w:autoSpaceDE w:val="0"/>
        <w:autoSpaceDN w:val="0"/>
        <w:adjustRightInd w:val="0"/>
        <w:spacing w:after="0" w:line="240" w:lineRule="auto"/>
        <w:jc w:val="both"/>
        <w:rPr>
          <w:rFonts w:ascii="Times New Roman" w:hAnsi="Times New Roman" w:cs="Times New Roman"/>
          <w:sz w:val="20"/>
          <w:szCs w:val="20"/>
        </w:rPr>
      </w:pPr>
      <w:r w:rsidRPr="008C65B3">
        <w:rPr>
          <w:rFonts w:ascii="Times New Roman" w:hAnsi="Times New Roman" w:cs="Times New Roman"/>
          <w:sz w:val="20"/>
          <w:szCs w:val="20"/>
        </w:rPr>
        <w:t>Prevalensi DM, karena adanya perubahan gaya hidup masyarakat dari tradisional ke masyarakat modern yaitu tinggi gula, garam dan lemak.</w:t>
      </w:r>
      <w:r w:rsidR="004E2BA3" w:rsidRPr="008C65B3">
        <w:rPr>
          <w:rFonts w:ascii="Times New Roman" w:hAnsi="Times New Roman" w:cs="Times New Roman"/>
          <w:sz w:val="20"/>
          <w:szCs w:val="20"/>
          <w:vertAlign w:val="superscript"/>
        </w:rPr>
        <w:t>29</w:t>
      </w:r>
    </w:p>
    <w:p w:rsidR="000E7534" w:rsidRPr="008C65B3" w:rsidRDefault="000E7534" w:rsidP="009B223C">
      <w:pPr>
        <w:tabs>
          <w:tab w:val="left" w:pos="426"/>
        </w:tabs>
        <w:autoSpaceDE w:val="0"/>
        <w:autoSpaceDN w:val="0"/>
        <w:adjustRightInd w:val="0"/>
        <w:spacing w:after="0" w:line="240" w:lineRule="auto"/>
        <w:jc w:val="both"/>
        <w:rPr>
          <w:rFonts w:ascii="Times New Roman" w:hAnsi="Times New Roman" w:cs="Times New Roman"/>
          <w:sz w:val="20"/>
          <w:szCs w:val="20"/>
        </w:rPr>
      </w:pPr>
    </w:p>
    <w:p w:rsidR="006634E7" w:rsidRPr="008C65B3" w:rsidRDefault="00586674" w:rsidP="009B223C">
      <w:pPr>
        <w:tabs>
          <w:tab w:val="left" w:pos="426"/>
        </w:tabs>
        <w:autoSpaceDE w:val="0"/>
        <w:autoSpaceDN w:val="0"/>
        <w:adjustRightInd w:val="0"/>
        <w:spacing w:after="0" w:line="240" w:lineRule="auto"/>
        <w:jc w:val="both"/>
        <w:rPr>
          <w:rFonts w:ascii="Times New Roman" w:hAnsi="Times New Roman" w:cs="Times New Roman"/>
          <w:sz w:val="20"/>
          <w:szCs w:val="20"/>
        </w:rPr>
      </w:pPr>
      <w:r w:rsidRPr="008C65B3">
        <w:rPr>
          <w:rFonts w:ascii="Times New Roman" w:hAnsi="Times New Roman" w:cs="Times New Roman"/>
          <w:sz w:val="20"/>
          <w:szCs w:val="20"/>
        </w:rPr>
        <w:t xml:space="preserve">Karakteristik prediabetes/diabetes  di masyarakat pesisir adalah </w:t>
      </w:r>
      <w:r w:rsidR="00826CC5" w:rsidRPr="008C65B3">
        <w:rPr>
          <w:rFonts w:ascii="Times New Roman" w:hAnsi="Times New Roman" w:cs="Times New Roman"/>
          <w:sz w:val="20"/>
          <w:szCs w:val="20"/>
        </w:rPr>
        <w:t>tekanan darah tinggi</w:t>
      </w:r>
      <w:r w:rsidRPr="008C65B3">
        <w:rPr>
          <w:rFonts w:ascii="Times New Roman" w:hAnsi="Times New Roman" w:cs="Times New Roman"/>
          <w:sz w:val="20"/>
          <w:szCs w:val="20"/>
        </w:rPr>
        <w:t>. Hal ini</w:t>
      </w:r>
      <w:r w:rsidR="00826CC5" w:rsidRPr="008C65B3">
        <w:rPr>
          <w:rFonts w:ascii="Times New Roman" w:hAnsi="Times New Roman" w:cs="Times New Roman"/>
          <w:sz w:val="20"/>
          <w:szCs w:val="20"/>
        </w:rPr>
        <w:t xml:space="preserve"> </w:t>
      </w:r>
      <w:r w:rsidR="006214A6" w:rsidRPr="008C65B3">
        <w:rPr>
          <w:rFonts w:ascii="Times New Roman" w:hAnsi="Times New Roman" w:cs="Times New Roman"/>
          <w:sz w:val="20"/>
          <w:szCs w:val="20"/>
        </w:rPr>
        <w:t>terjadi karena kebiasaan pola makan di masyarakat pesisir banyak mengkonsumsi udang, cumi dan ikan laut karena merupakan sumber makanan utama di wilayah Gili Ketapang.</w:t>
      </w:r>
      <w:r w:rsidR="009B223C" w:rsidRPr="008C65B3">
        <w:rPr>
          <w:rFonts w:ascii="Times New Roman" w:hAnsi="Times New Roman" w:cs="Times New Roman"/>
          <w:sz w:val="20"/>
          <w:szCs w:val="20"/>
        </w:rPr>
        <w:t xml:space="preserve"> Konsumsi lemak yang tinggi lebih dari 30% total kalori dapat menyebabkan resistensi insulin yang mengarah ke kondisi prediabetes. Penelitian yang dilakukan di kota Depok </w:t>
      </w:r>
      <w:r w:rsidR="009B223C" w:rsidRPr="008C65B3">
        <w:rPr>
          <w:rFonts w:ascii="Times New Roman" w:hAnsi="Times New Roman" w:cs="Times New Roman"/>
          <w:sz w:val="20"/>
          <w:szCs w:val="20"/>
        </w:rPr>
        <w:lastRenderedPageBreak/>
        <w:t>menunjukkan bahwa konsumsi lemak yang tinggi (≥ 40 g/hari) dapat meningkatkan risiko terjadinya prediabetes</w:t>
      </w:r>
      <w:r w:rsidR="000E7534" w:rsidRPr="008C65B3">
        <w:rPr>
          <w:rFonts w:ascii="Times New Roman" w:hAnsi="Times New Roman" w:cs="Times New Roman"/>
          <w:sz w:val="20"/>
          <w:szCs w:val="20"/>
        </w:rPr>
        <w:t>.</w:t>
      </w:r>
      <w:r w:rsidR="004E2BA3" w:rsidRPr="008C65B3">
        <w:rPr>
          <w:rFonts w:ascii="Times New Roman" w:hAnsi="Times New Roman" w:cs="Times New Roman"/>
          <w:sz w:val="20"/>
          <w:szCs w:val="20"/>
          <w:vertAlign w:val="superscript"/>
        </w:rPr>
        <w:t>3</w:t>
      </w:r>
      <w:r w:rsidR="000E7534" w:rsidRPr="008C65B3">
        <w:rPr>
          <w:rFonts w:ascii="Times New Roman" w:hAnsi="Times New Roman" w:cs="Times New Roman"/>
          <w:sz w:val="20"/>
          <w:szCs w:val="20"/>
          <w:vertAlign w:val="superscript"/>
        </w:rPr>
        <w:t>0</w:t>
      </w:r>
      <w:r w:rsidR="009B223C" w:rsidRPr="008C65B3">
        <w:rPr>
          <w:rFonts w:ascii="Times New Roman" w:hAnsi="Times New Roman" w:cs="Times New Roman"/>
          <w:sz w:val="20"/>
          <w:szCs w:val="20"/>
        </w:rPr>
        <w:t xml:space="preserve"> </w:t>
      </w:r>
    </w:p>
    <w:p w:rsidR="000E7534" w:rsidRPr="008C65B3" w:rsidRDefault="000E7534" w:rsidP="000E7534">
      <w:pPr>
        <w:tabs>
          <w:tab w:val="left" w:pos="426"/>
        </w:tabs>
        <w:autoSpaceDE w:val="0"/>
        <w:autoSpaceDN w:val="0"/>
        <w:adjustRightInd w:val="0"/>
        <w:spacing w:after="0" w:line="240" w:lineRule="auto"/>
        <w:jc w:val="both"/>
        <w:rPr>
          <w:rFonts w:ascii="Times New Roman" w:hAnsi="Times New Roman" w:cs="Times New Roman"/>
          <w:sz w:val="20"/>
          <w:szCs w:val="20"/>
        </w:rPr>
      </w:pPr>
    </w:p>
    <w:p w:rsidR="00703D95" w:rsidRPr="008C65B3" w:rsidRDefault="000E7534" w:rsidP="00703D95">
      <w:pPr>
        <w:tabs>
          <w:tab w:val="left" w:pos="426"/>
        </w:tabs>
        <w:autoSpaceDE w:val="0"/>
        <w:autoSpaceDN w:val="0"/>
        <w:adjustRightInd w:val="0"/>
        <w:spacing w:after="0" w:line="240" w:lineRule="auto"/>
        <w:jc w:val="both"/>
        <w:rPr>
          <w:rFonts w:ascii="Times New Roman" w:hAnsi="Times New Roman" w:cs="Times New Roman"/>
          <w:sz w:val="20"/>
          <w:szCs w:val="20"/>
        </w:rPr>
      </w:pPr>
      <w:r w:rsidRPr="008C65B3">
        <w:rPr>
          <w:rFonts w:ascii="Times New Roman" w:hAnsi="Times New Roman" w:cs="Times New Roman"/>
          <w:sz w:val="20"/>
          <w:szCs w:val="20"/>
        </w:rPr>
        <w:t>Karakteristik prediabetes</w:t>
      </w:r>
      <w:r w:rsidR="00F85B73" w:rsidRPr="008C65B3">
        <w:rPr>
          <w:rFonts w:ascii="Times New Roman" w:hAnsi="Times New Roman" w:cs="Times New Roman"/>
          <w:sz w:val="20"/>
          <w:szCs w:val="20"/>
        </w:rPr>
        <w:t>/diabetes  di masyarakat perkotaan</w:t>
      </w:r>
      <w:r w:rsidRPr="008C65B3">
        <w:rPr>
          <w:rFonts w:ascii="Times New Roman" w:hAnsi="Times New Roman" w:cs="Times New Roman"/>
          <w:sz w:val="20"/>
          <w:szCs w:val="20"/>
        </w:rPr>
        <w:t xml:space="preserve"> adalah obesitas dan kurang melakukan aktifitas. Hal ini terjadi karena masyarakat kota </w:t>
      </w:r>
      <w:r w:rsidR="00203018" w:rsidRPr="008C65B3">
        <w:rPr>
          <w:rFonts w:ascii="Times New Roman" w:hAnsi="Times New Roman" w:cs="Times New Roman"/>
          <w:sz w:val="20"/>
          <w:szCs w:val="20"/>
        </w:rPr>
        <w:t xml:space="preserve">mempunyai </w:t>
      </w:r>
      <w:r w:rsidR="00203018" w:rsidRPr="008C65B3">
        <w:rPr>
          <w:rFonts w:ascii="Times New Roman" w:hAnsi="Times New Roman" w:cs="Times New Roman"/>
          <w:i/>
          <w:iCs/>
          <w:sz w:val="20"/>
          <w:szCs w:val="20"/>
        </w:rPr>
        <w:t xml:space="preserve">lifestyle </w:t>
      </w:r>
      <w:r w:rsidR="00203018" w:rsidRPr="008C65B3">
        <w:rPr>
          <w:rFonts w:ascii="Times New Roman" w:hAnsi="Times New Roman" w:cs="Times New Roman"/>
          <w:sz w:val="20"/>
          <w:szCs w:val="20"/>
        </w:rPr>
        <w:t xml:space="preserve">yang berisiko </w:t>
      </w:r>
      <w:r w:rsidR="00203018" w:rsidRPr="008C65B3">
        <w:rPr>
          <w:rFonts w:ascii="Times New Roman" w:hAnsi="Times New Roman" w:cs="Times New Roman"/>
          <w:i/>
          <w:iCs/>
          <w:sz w:val="20"/>
          <w:szCs w:val="20"/>
        </w:rPr>
        <w:t xml:space="preserve">sedentary </w:t>
      </w:r>
      <w:r w:rsidRPr="008C65B3">
        <w:rPr>
          <w:rFonts w:ascii="Times New Roman" w:hAnsi="Times New Roman" w:cs="Times New Roman"/>
          <w:sz w:val="20"/>
          <w:szCs w:val="20"/>
        </w:rPr>
        <w:t>banyak mengkonsumsi makanan siap saji</w:t>
      </w:r>
      <w:r w:rsidR="00DF1FDB" w:rsidRPr="008C65B3">
        <w:rPr>
          <w:rFonts w:ascii="Times New Roman" w:hAnsi="Times New Roman" w:cs="Times New Roman"/>
          <w:sz w:val="20"/>
          <w:szCs w:val="20"/>
        </w:rPr>
        <w:t>( makanan awetan)</w:t>
      </w:r>
      <w:r w:rsidR="00703D95" w:rsidRPr="008C65B3">
        <w:rPr>
          <w:rFonts w:ascii="Times New Roman" w:hAnsi="Times New Roman" w:cs="Times New Roman"/>
          <w:sz w:val="20"/>
          <w:szCs w:val="20"/>
        </w:rPr>
        <w:t xml:space="preserve"> yang tinggi lemak</w:t>
      </w:r>
      <w:r w:rsidR="009E63F6" w:rsidRPr="008C65B3">
        <w:rPr>
          <w:rFonts w:ascii="Times New Roman" w:hAnsi="Times New Roman" w:cs="Times New Roman"/>
          <w:sz w:val="20"/>
          <w:szCs w:val="20"/>
        </w:rPr>
        <w:t>, ngemil dan minum es serta</w:t>
      </w:r>
      <w:r w:rsidRPr="008C65B3">
        <w:rPr>
          <w:rFonts w:ascii="Times New Roman" w:hAnsi="Times New Roman" w:cs="Times New Roman"/>
          <w:sz w:val="20"/>
          <w:szCs w:val="20"/>
        </w:rPr>
        <w:t xml:space="preserve"> kurang melakukan aktifitas. </w:t>
      </w:r>
      <w:r w:rsidR="003E042B" w:rsidRPr="008C65B3">
        <w:rPr>
          <w:rFonts w:ascii="Times New Roman" w:hAnsi="Times New Roman" w:cs="Times New Roman"/>
          <w:sz w:val="20"/>
          <w:szCs w:val="20"/>
        </w:rPr>
        <w:t>K</w:t>
      </w:r>
      <w:r w:rsidR="009E63F6" w:rsidRPr="008C65B3">
        <w:rPr>
          <w:rFonts w:ascii="Times New Roman" w:hAnsi="Times New Roman" w:cs="Times New Roman"/>
          <w:sz w:val="20"/>
          <w:szCs w:val="20"/>
        </w:rPr>
        <w:t>onsumsi makanan manis di Indonesia berada posisi ke 2 setelah konsumsi penyedap yaitu sebesar 53.1%.</w:t>
      </w:r>
      <w:r w:rsidR="004E2BA3" w:rsidRPr="008C65B3">
        <w:rPr>
          <w:rFonts w:ascii="Times New Roman" w:hAnsi="Times New Roman" w:cs="Times New Roman"/>
          <w:sz w:val="20"/>
          <w:szCs w:val="20"/>
          <w:vertAlign w:val="superscript"/>
        </w:rPr>
        <w:t>17</w:t>
      </w:r>
      <w:r w:rsidR="009E63F6" w:rsidRPr="008C65B3">
        <w:rPr>
          <w:rFonts w:ascii="Times New Roman" w:hAnsi="Times New Roman" w:cs="Times New Roman"/>
          <w:sz w:val="20"/>
          <w:szCs w:val="20"/>
        </w:rPr>
        <w:t xml:space="preserve"> </w:t>
      </w:r>
      <w:r w:rsidR="00F85B73" w:rsidRPr="008C65B3">
        <w:rPr>
          <w:rFonts w:ascii="Times New Roman" w:hAnsi="Times New Roman" w:cs="Times New Roman"/>
          <w:sz w:val="20"/>
          <w:szCs w:val="20"/>
        </w:rPr>
        <w:t xml:space="preserve">Seseorang yang cenderung obesitas memiliki akivitas fisik yang lebih rendah sehingga terkait dengan lamanya waktu berjalan dan berpengaruh dengan pengeluaran energi. </w:t>
      </w:r>
      <w:r w:rsidR="00703D95" w:rsidRPr="008C65B3">
        <w:rPr>
          <w:rFonts w:ascii="Times New Roman" w:hAnsi="Times New Roman" w:cs="Times New Roman"/>
          <w:sz w:val="20"/>
          <w:szCs w:val="20"/>
        </w:rPr>
        <w:t>Seperti diketahui sebelumnya dengan bertambahnya umur akan terjadi gangguan metabolisme karbohidrat terutama timbulnya resistensi insulin yang dapat disebabkan oleh 4 faktor, yaitu: perubahan komposisi tubuh (massa otot lebih sedikit dan jaringan lemak lebih banyak), menurunnya aktivitas fisik sehingga terjadi penurunan jumlah reseptor insulin yang siap berikatan dengan insulin, perubahan pola makan lebih banyak makan karbohidrat, perubahan neurohormonal (terutama insulin-like growth factor-1 (IGF-1) dan dehidroepiandosteron (DHEAS) plasma) sehingga terjadi penurunan ambilan glukosa akibat menurunnya sensitivitas reseptor insulin dan aksi insulin.</w:t>
      </w:r>
      <w:r w:rsidR="003E042B" w:rsidRPr="008C65B3">
        <w:rPr>
          <w:rFonts w:ascii="Times New Roman" w:hAnsi="Times New Roman" w:cs="Times New Roman"/>
          <w:sz w:val="20"/>
          <w:szCs w:val="20"/>
        </w:rPr>
        <w:t xml:space="preserve"> A</w:t>
      </w:r>
      <w:r w:rsidR="001C473E" w:rsidRPr="008C65B3">
        <w:rPr>
          <w:rFonts w:ascii="Times New Roman" w:hAnsi="Times New Roman" w:cs="Times New Roman"/>
          <w:sz w:val="20"/>
          <w:szCs w:val="20"/>
        </w:rPr>
        <w:t>ktivitas fisik diperdesaan dikaitkan dengan beberapa jenis pekerjaan fisik yang bebeda dengan masyarakat perkotaan. Hal ini bahwa pekerjaan fisik diperdesaan lebih tinggi dari pada pekerjaan fisik diperkotaan. Berdasarkan penelitian ini bahwa pekerjaan fisik yang dilakukan oleh masyarakat perdesan antara lain mencangkul, memanen padi, mengangkat padi, menanam padi dan lain sebagianya.</w:t>
      </w:r>
      <w:r w:rsidR="003E042B" w:rsidRPr="008C65B3">
        <w:rPr>
          <w:rFonts w:ascii="Times New Roman" w:hAnsi="Times New Roman" w:cs="Times New Roman"/>
          <w:sz w:val="20"/>
          <w:szCs w:val="20"/>
          <w:vertAlign w:val="superscript"/>
        </w:rPr>
        <w:t>2</w:t>
      </w:r>
      <w:r w:rsidR="004E2BA3" w:rsidRPr="008C65B3">
        <w:rPr>
          <w:rFonts w:ascii="Times New Roman" w:hAnsi="Times New Roman" w:cs="Times New Roman"/>
          <w:sz w:val="20"/>
          <w:szCs w:val="20"/>
          <w:vertAlign w:val="superscript"/>
        </w:rPr>
        <w:t>4</w:t>
      </w:r>
    </w:p>
    <w:p w:rsidR="00703D95" w:rsidRPr="008C65B3" w:rsidRDefault="00703D95" w:rsidP="00703D95">
      <w:pPr>
        <w:tabs>
          <w:tab w:val="left" w:pos="426"/>
        </w:tabs>
        <w:autoSpaceDE w:val="0"/>
        <w:autoSpaceDN w:val="0"/>
        <w:adjustRightInd w:val="0"/>
        <w:spacing w:after="0" w:line="240" w:lineRule="auto"/>
        <w:jc w:val="both"/>
        <w:rPr>
          <w:rFonts w:ascii="Times New Roman" w:hAnsi="Times New Roman" w:cs="Times New Roman"/>
          <w:sz w:val="20"/>
          <w:szCs w:val="20"/>
        </w:rPr>
      </w:pPr>
    </w:p>
    <w:p w:rsidR="00703D95" w:rsidRPr="008C65B3" w:rsidRDefault="00703D95" w:rsidP="00703D95">
      <w:pPr>
        <w:tabs>
          <w:tab w:val="left" w:pos="426"/>
        </w:tabs>
        <w:autoSpaceDE w:val="0"/>
        <w:autoSpaceDN w:val="0"/>
        <w:adjustRightInd w:val="0"/>
        <w:spacing w:after="0" w:line="240" w:lineRule="auto"/>
        <w:jc w:val="both"/>
        <w:rPr>
          <w:rFonts w:ascii="Times New Roman" w:hAnsi="Times New Roman" w:cs="Times New Roman"/>
          <w:b/>
          <w:sz w:val="20"/>
          <w:szCs w:val="20"/>
        </w:rPr>
      </w:pPr>
      <w:r w:rsidRPr="008C65B3">
        <w:rPr>
          <w:rFonts w:ascii="Times New Roman" w:hAnsi="Times New Roman" w:cs="Times New Roman"/>
          <w:b/>
          <w:sz w:val="20"/>
          <w:szCs w:val="20"/>
        </w:rPr>
        <w:t>Hubungan faktor resiko dengan prediabetes/diabetes</w:t>
      </w:r>
    </w:p>
    <w:p w:rsidR="00DE4EBA" w:rsidRPr="008C65B3" w:rsidRDefault="00DE4EBA" w:rsidP="007D14F6">
      <w:pPr>
        <w:autoSpaceDE w:val="0"/>
        <w:autoSpaceDN w:val="0"/>
        <w:adjustRightInd w:val="0"/>
        <w:spacing w:after="0" w:line="240" w:lineRule="auto"/>
        <w:jc w:val="both"/>
        <w:rPr>
          <w:rFonts w:ascii="Times New Roman" w:hAnsi="Times New Roman" w:cs="Times New Roman"/>
          <w:sz w:val="20"/>
          <w:szCs w:val="20"/>
        </w:rPr>
      </w:pPr>
    </w:p>
    <w:p w:rsidR="00BD3A7F" w:rsidRPr="008C65B3" w:rsidRDefault="00203018" w:rsidP="00613FE3">
      <w:pPr>
        <w:autoSpaceDE w:val="0"/>
        <w:autoSpaceDN w:val="0"/>
        <w:adjustRightInd w:val="0"/>
        <w:spacing w:after="0" w:line="240" w:lineRule="auto"/>
        <w:jc w:val="both"/>
        <w:rPr>
          <w:rFonts w:ascii="Times New Roman" w:hAnsi="Times New Roman" w:cs="Times New Roman"/>
          <w:sz w:val="20"/>
          <w:szCs w:val="20"/>
          <w:vertAlign w:val="superscript"/>
          <w:lang w:bidi="ar-SA"/>
        </w:rPr>
      </w:pPr>
      <w:r w:rsidRPr="008C65B3">
        <w:rPr>
          <w:rFonts w:ascii="Times New Roman" w:hAnsi="Times New Roman" w:cs="Times New Roman"/>
          <w:sz w:val="20"/>
          <w:szCs w:val="20"/>
        </w:rPr>
        <w:t>Faktor resiko pre</w:t>
      </w:r>
      <w:r w:rsidR="00703D95" w:rsidRPr="008C65B3">
        <w:rPr>
          <w:rFonts w:ascii="Times New Roman" w:hAnsi="Times New Roman" w:cs="Times New Roman"/>
          <w:sz w:val="20"/>
          <w:szCs w:val="20"/>
        </w:rPr>
        <w:t xml:space="preserve">diabetes/diabetes di masyarakat pegunungan adalah riwayat asam urat dan kolesterol. </w:t>
      </w:r>
      <w:r w:rsidR="00BD3A7F" w:rsidRPr="008C65B3">
        <w:rPr>
          <w:rStyle w:val="A12"/>
          <w:rFonts w:ascii="Times New Roman" w:hAnsi="Times New Roman" w:cs="Times New Roman"/>
          <w:sz w:val="20"/>
          <w:szCs w:val="20"/>
        </w:rPr>
        <w:t>Gangguan metabolisme tubuh seperti hipertensi, obesitas, dan dislipidemia telah lama dianggap menjadi faktor risiko dalam menimbulkan prediabetes, termasuk prediabetes campuran i-IFG dan i-IGT.</w:t>
      </w:r>
      <w:r w:rsidR="004E2BA3" w:rsidRPr="008C65B3">
        <w:rPr>
          <w:rStyle w:val="A13"/>
          <w:rFonts w:ascii="Times New Roman" w:hAnsi="Times New Roman" w:cs="Times New Roman"/>
          <w:sz w:val="20"/>
          <w:szCs w:val="20"/>
          <w:vertAlign w:val="superscript"/>
        </w:rPr>
        <w:t>1</w:t>
      </w:r>
      <w:r w:rsidR="00783146" w:rsidRPr="008C65B3">
        <w:rPr>
          <w:rStyle w:val="A13"/>
          <w:rFonts w:ascii="Times New Roman" w:hAnsi="Times New Roman" w:cs="Times New Roman"/>
          <w:sz w:val="20"/>
          <w:szCs w:val="20"/>
          <w:vertAlign w:val="superscript"/>
        </w:rPr>
        <w:t xml:space="preserve"> </w:t>
      </w:r>
      <w:r w:rsidR="00783146" w:rsidRPr="008C65B3">
        <w:rPr>
          <w:rFonts w:ascii="Times New Roman" w:hAnsi="Times New Roman" w:cs="Times New Roman"/>
          <w:sz w:val="20"/>
          <w:szCs w:val="20"/>
        </w:rPr>
        <w:t>Lemak viseral adalah salah satu dari dasar kondisi klinis pada kejadian metabolik sindrom yang merupakan penyebab terjadinya risiko penyakit kardiovaskular seperti DM, dislipidemia, peningkatan tekanan darah, dan memiliki pengaruh terhadap aterosklerosis</w:t>
      </w:r>
      <w:r w:rsidR="00B85821" w:rsidRPr="008C65B3">
        <w:rPr>
          <w:rFonts w:ascii="Times New Roman" w:hAnsi="Times New Roman" w:cs="Times New Roman"/>
          <w:sz w:val="20"/>
          <w:szCs w:val="20"/>
        </w:rPr>
        <w:t>.</w:t>
      </w:r>
      <w:r w:rsidR="00B85821" w:rsidRPr="008C65B3">
        <w:rPr>
          <w:rFonts w:ascii="Times New Roman" w:hAnsi="Times New Roman" w:cs="Times New Roman"/>
          <w:sz w:val="20"/>
          <w:szCs w:val="20"/>
          <w:vertAlign w:val="superscript"/>
        </w:rPr>
        <w:t>2</w:t>
      </w:r>
      <w:r w:rsidR="004E2BA3" w:rsidRPr="008C65B3">
        <w:rPr>
          <w:rFonts w:ascii="Times New Roman" w:hAnsi="Times New Roman" w:cs="Times New Roman"/>
          <w:sz w:val="20"/>
          <w:szCs w:val="20"/>
          <w:vertAlign w:val="superscript"/>
        </w:rPr>
        <w:t>8</w:t>
      </w:r>
      <w:r w:rsidR="00783146" w:rsidRPr="008C65B3">
        <w:rPr>
          <w:rFonts w:ascii="Times New Roman" w:hAnsi="Times New Roman" w:cs="Times New Roman"/>
          <w:sz w:val="20"/>
          <w:szCs w:val="20"/>
        </w:rPr>
        <w:t xml:space="preserve"> Subjek di masyarakat pegunungan adalah sebagian besar obesitas, mempunyai riwayat hipertensi, riwayat asam urat dan kolesterol yang sangat erat hubungannya satu sama lainnya.</w:t>
      </w:r>
      <w:r w:rsidR="00B85821" w:rsidRPr="008C65B3">
        <w:rPr>
          <w:rFonts w:ascii="Times New Roman" w:hAnsi="Times New Roman" w:cs="Times New Roman"/>
          <w:sz w:val="20"/>
          <w:szCs w:val="20"/>
        </w:rPr>
        <w:t xml:space="preserve"> </w:t>
      </w:r>
      <w:r w:rsidR="00613FE3" w:rsidRPr="008C65B3">
        <w:rPr>
          <w:rFonts w:ascii="Times New Roman" w:hAnsi="Times New Roman" w:cs="Times New Roman"/>
          <w:sz w:val="20"/>
          <w:szCs w:val="20"/>
          <w:lang w:bidi="ar-SA"/>
        </w:rPr>
        <w:t>pada keadaan hiperinsulinemia pada pra diabetes terjadi peningkatan reabsorpsi yang akan menyebabkan hiperurisemia. Transporter urat yang berada di membran apikal tubuli renal dikenal sebagai URAT-1 berperan dalam reabsorpsi urat.</w:t>
      </w:r>
      <w:r w:rsidR="004E2BA3" w:rsidRPr="008C65B3">
        <w:rPr>
          <w:rFonts w:ascii="Times New Roman" w:hAnsi="Times New Roman" w:cs="Times New Roman"/>
          <w:sz w:val="20"/>
          <w:szCs w:val="20"/>
          <w:vertAlign w:val="superscript"/>
          <w:lang w:bidi="ar-SA"/>
        </w:rPr>
        <w:t>21</w:t>
      </w:r>
    </w:p>
    <w:p w:rsidR="00593FA2" w:rsidRPr="008C65B3" w:rsidRDefault="00593FA2" w:rsidP="00613FE3">
      <w:pPr>
        <w:autoSpaceDE w:val="0"/>
        <w:autoSpaceDN w:val="0"/>
        <w:adjustRightInd w:val="0"/>
        <w:spacing w:after="0" w:line="240" w:lineRule="auto"/>
        <w:jc w:val="both"/>
        <w:rPr>
          <w:rFonts w:ascii="Times New Roman" w:hAnsi="Times New Roman" w:cs="Times New Roman"/>
          <w:sz w:val="20"/>
          <w:szCs w:val="20"/>
          <w:lang w:bidi="ar-SA"/>
        </w:rPr>
      </w:pPr>
    </w:p>
    <w:p w:rsidR="008D6927" w:rsidRPr="008C65B3" w:rsidRDefault="00613FE3" w:rsidP="008D6927">
      <w:pPr>
        <w:tabs>
          <w:tab w:val="left" w:pos="426"/>
        </w:tabs>
        <w:autoSpaceDE w:val="0"/>
        <w:autoSpaceDN w:val="0"/>
        <w:adjustRightInd w:val="0"/>
        <w:spacing w:after="0" w:line="240" w:lineRule="auto"/>
        <w:jc w:val="both"/>
        <w:rPr>
          <w:rFonts w:ascii="Times New Roman" w:hAnsi="Times New Roman" w:cs="Times New Roman"/>
          <w:sz w:val="20"/>
          <w:szCs w:val="20"/>
          <w:vertAlign w:val="superscript"/>
        </w:rPr>
      </w:pPr>
      <w:r w:rsidRPr="008C65B3">
        <w:rPr>
          <w:rFonts w:ascii="Times New Roman" w:hAnsi="Times New Roman" w:cs="Times New Roman"/>
          <w:sz w:val="20"/>
          <w:szCs w:val="20"/>
        </w:rPr>
        <w:t xml:space="preserve">Faktor resiko prediabetes/diabetes di masyarakat pesisir adalah riwayat asam urat, kolesterol dan penyakit pembuluh darah. Subjek yang ada di pesisir mempunyai kebiasaan mengkonsumsi makanan yang mengandung kadar lemak dan purin tinggi, jarang mengkonsumsi sayur dan buah. Keadaan tersebut dipengaruhi keadaan geografis yang merupakan wilayah Gili/pulau kecil yang dikelilingi lautan, dimana ikan dan jenis makanan laut menjadi konsumsi sehari-hari. Keadaan alam yang bukan lahan pertanian atau perkebunan sehingga untuk mengkonsusmsi sumber nabati harus mendatangkan dari kota Probolinngo. </w:t>
      </w:r>
      <w:r w:rsidR="00593FA2" w:rsidRPr="008C65B3">
        <w:rPr>
          <w:rFonts w:ascii="Times New Roman" w:hAnsi="Times New Roman" w:cs="Times New Roman"/>
          <w:sz w:val="20"/>
          <w:szCs w:val="20"/>
        </w:rPr>
        <w:t>P</w:t>
      </w:r>
      <w:r w:rsidR="008D6927" w:rsidRPr="008C65B3">
        <w:rPr>
          <w:rFonts w:ascii="Times New Roman" w:hAnsi="Times New Roman" w:cs="Times New Roman"/>
          <w:sz w:val="20"/>
          <w:szCs w:val="20"/>
        </w:rPr>
        <w:t>rediabetes berpotensi hampir dua kali lebih tinggi mengalami risiko penyakit kardiovaskular dibandingkan dengan mereka yang tanpa IGT atau IFG. Pada wanita dengan prediabetes yang berkembang menjadi diabetes memiliki risiko kejadian penyakit kardiovaskular 3 kali lebih sering dibandingkan dengan mereka yang menetap sebagai prediabetes</w:t>
      </w:r>
      <w:r w:rsidR="00593FA2" w:rsidRPr="008C65B3">
        <w:rPr>
          <w:rFonts w:ascii="Times New Roman" w:hAnsi="Times New Roman" w:cs="Times New Roman"/>
          <w:sz w:val="20"/>
          <w:szCs w:val="20"/>
        </w:rPr>
        <w:t>.</w:t>
      </w:r>
      <w:r w:rsidR="004E2BA3" w:rsidRPr="008C65B3">
        <w:rPr>
          <w:rFonts w:ascii="Times New Roman" w:hAnsi="Times New Roman" w:cs="Times New Roman"/>
          <w:sz w:val="20"/>
          <w:szCs w:val="20"/>
          <w:vertAlign w:val="superscript"/>
        </w:rPr>
        <w:t>20</w:t>
      </w:r>
    </w:p>
    <w:p w:rsidR="001B3183" w:rsidRPr="008C65B3" w:rsidRDefault="001B3183" w:rsidP="008D6927">
      <w:pPr>
        <w:tabs>
          <w:tab w:val="left" w:pos="426"/>
        </w:tabs>
        <w:autoSpaceDE w:val="0"/>
        <w:autoSpaceDN w:val="0"/>
        <w:adjustRightInd w:val="0"/>
        <w:spacing w:after="0" w:line="240" w:lineRule="auto"/>
        <w:jc w:val="both"/>
        <w:rPr>
          <w:rFonts w:ascii="Times New Roman" w:hAnsi="Times New Roman" w:cs="Times New Roman"/>
          <w:sz w:val="20"/>
          <w:szCs w:val="20"/>
        </w:rPr>
      </w:pPr>
    </w:p>
    <w:p w:rsidR="001B3183" w:rsidRPr="008C65B3" w:rsidRDefault="001B3183" w:rsidP="001B3183">
      <w:pPr>
        <w:autoSpaceDE w:val="0"/>
        <w:autoSpaceDN w:val="0"/>
        <w:adjustRightInd w:val="0"/>
        <w:spacing w:after="0" w:line="240" w:lineRule="auto"/>
        <w:jc w:val="both"/>
        <w:rPr>
          <w:rFonts w:ascii="Times New Roman" w:eastAsia="TimesNewRomanPSMT" w:hAnsi="Times New Roman" w:cs="Times New Roman"/>
          <w:sz w:val="20"/>
          <w:szCs w:val="20"/>
          <w:lang w:bidi="ar-SA"/>
        </w:rPr>
      </w:pPr>
      <w:r w:rsidRPr="008C65B3">
        <w:rPr>
          <w:rFonts w:ascii="Times New Roman" w:hAnsi="Times New Roman" w:cs="Times New Roman"/>
          <w:sz w:val="20"/>
          <w:szCs w:val="20"/>
        </w:rPr>
        <w:t xml:space="preserve">Faktor resiko prediabetes/diabetes di masyarakat perkotaan adalah riwayat keturunan dan kolesterol. </w:t>
      </w:r>
      <w:r w:rsidRPr="008C65B3">
        <w:rPr>
          <w:rFonts w:ascii="Times New Roman" w:eastAsia="TimesNewRomanPSMT" w:hAnsi="Times New Roman" w:cs="Times New Roman"/>
          <w:sz w:val="20"/>
          <w:szCs w:val="20"/>
          <w:lang w:bidi="ar-SA"/>
        </w:rPr>
        <w:t>Faktor herediter,gaya hidup dan faktor lingkungan merupakan faktor penyebab tingginya angka morbiditas DM dari waktuke waktu.</w:t>
      </w:r>
      <w:r w:rsidR="004E2BA3" w:rsidRPr="008C65B3">
        <w:rPr>
          <w:rFonts w:ascii="Times New Roman" w:eastAsia="TimesNewRomanPSMT" w:hAnsi="Times New Roman" w:cs="Times New Roman"/>
          <w:sz w:val="20"/>
          <w:szCs w:val="20"/>
          <w:vertAlign w:val="superscript"/>
          <w:lang w:bidi="ar-SA"/>
        </w:rPr>
        <w:t>16</w:t>
      </w:r>
      <w:r w:rsidRPr="008C65B3">
        <w:rPr>
          <w:rFonts w:ascii="Times New Roman" w:eastAsia="TimesNewRomanPSMT" w:hAnsi="Times New Roman" w:cs="Times New Roman"/>
          <w:sz w:val="20"/>
          <w:szCs w:val="20"/>
          <w:lang w:bidi="ar-SA"/>
        </w:rPr>
        <w:t xml:space="preserve"> subjek di wilayah perkotaan dari hasil wawancara sebagian besar mempunyai riwayat keturunan dari keluarga dan mempuyai kebiasaan makanan yang tinggi lemak seperti gorengan, santan dan makanan yang berlemak. Surabaya merupakan kota kuliner dengan kemudahan untuk mencari makanan yang siap saji, makanan yang diawetkan banyak tersedia di mall, mart maupun di pasar-pasar tradisional.</w:t>
      </w:r>
    </w:p>
    <w:p w:rsidR="00615A44" w:rsidRPr="008C65B3" w:rsidRDefault="00615A44" w:rsidP="00613FE3">
      <w:pPr>
        <w:autoSpaceDE w:val="0"/>
        <w:autoSpaceDN w:val="0"/>
        <w:adjustRightInd w:val="0"/>
        <w:spacing w:after="0" w:line="240" w:lineRule="auto"/>
        <w:jc w:val="both"/>
        <w:rPr>
          <w:rStyle w:val="A12"/>
          <w:rFonts w:ascii="Times New Roman" w:hAnsi="Times New Roman" w:cs="Times New Roman"/>
          <w:sz w:val="20"/>
          <w:szCs w:val="20"/>
        </w:rPr>
      </w:pPr>
    </w:p>
    <w:p w:rsidR="001B0109" w:rsidRPr="008C65B3" w:rsidRDefault="00615A44" w:rsidP="001B0109">
      <w:pPr>
        <w:autoSpaceDE w:val="0"/>
        <w:autoSpaceDN w:val="0"/>
        <w:adjustRightInd w:val="0"/>
        <w:spacing w:after="0" w:line="240" w:lineRule="auto"/>
        <w:jc w:val="both"/>
        <w:rPr>
          <w:rStyle w:val="A12"/>
          <w:rFonts w:ascii="Times New Roman" w:hAnsi="Times New Roman" w:cs="Times New Roman"/>
          <w:b/>
          <w:sz w:val="20"/>
          <w:szCs w:val="20"/>
        </w:rPr>
      </w:pPr>
      <w:r w:rsidRPr="008C65B3">
        <w:rPr>
          <w:rStyle w:val="A12"/>
          <w:rFonts w:ascii="Times New Roman" w:hAnsi="Times New Roman" w:cs="Times New Roman"/>
          <w:b/>
          <w:sz w:val="20"/>
          <w:szCs w:val="20"/>
        </w:rPr>
        <w:t>Kesimpulan dan saran</w:t>
      </w:r>
    </w:p>
    <w:p w:rsidR="001B0109" w:rsidRPr="008C65B3" w:rsidRDefault="001B0109" w:rsidP="001B0109">
      <w:pPr>
        <w:autoSpaceDE w:val="0"/>
        <w:autoSpaceDN w:val="0"/>
        <w:adjustRightInd w:val="0"/>
        <w:spacing w:after="0" w:line="240" w:lineRule="auto"/>
        <w:jc w:val="both"/>
        <w:rPr>
          <w:rStyle w:val="A12"/>
          <w:rFonts w:ascii="Times New Roman" w:hAnsi="Times New Roman" w:cs="Times New Roman"/>
          <w:sz w:val="20"/>
          <w:szCs w:val="20"/>
        </w:rPr>
      </w:pPr>
      <w:r w:rsidRPr="008C65B3">
        <w:rPr>
          <w:rStyle w:val="A12"/>
          <w:rFonts w:ascii="Times New Roman" w:hAnsi="Times New Roman" w:cs="Times New Roman"/>
          <w:sz w:val="20"/>
          <w:szCs w:val="20"/>
        </w:rPr>
        <w:t>K</w:t>
      </w:r>
      <w:r w:rsidR="00615A44" w:rsidRPr="008C65B3">
        <w:rPr>
          <w:rStyle w:val="A12"/>
          <w:rFonts w:ascii="Times New Roman" w:hAnsi="Times New Roman" w:cs="Times New Roman"/>
          <w:sz w:val="20"/>
          <w:szCs w:val="20"/>
        </w:rPr>
        <w:t xml:space="preserve">esimpulan </w:t>
      </w:r>
    </w:p>
    <w:p w:rsidR="001B0109" w:rsidRPr="008C65B3" w:rsidRDefault="00615A44" w:rsidP="00613FE3">
      <w:pPr>
        <w:autoSpaceDE w:val="0"/>
        <w:autoSpaceDN w:val="0"/>
        <w:adjustRightInd w:val="0"/>
        <w:spacing w:after="0" w:line="240" w:lineRule="auto"/>
        <w:jc w:val="both"/>
        <w:rPr>
          <w:rStyle w:val="A12"/>
          <w:rFonts w:ascii="Times New Roman" w:hAnsi="Times New Roman" w:cs="Times New Roman"/>
          <w:b/>
          <w:sz w:val="20"/>
          <w:szCs w:val="20"/>
        </w:rPr>
      </w:pPr>
      <w:r w:rsidRPr="008C65B3">
        <w:rPr>
          <w:rFonts w:ascii="Times New Roman" w:hAnsi="Times New Roman" w:cs="Times New Roman"/>
          <w:sz w:val="20"/>
          <w:szCs w:val="20"/>
          <w:lang w:bidi="ar-SA"/>
        </w:rPr>
        <w:t>Prevalensi prediabetes diperoleh dari hasil pemeriksaan GDA di wilayah pegunungan sebesar 83,3%, pesisir 43,4%, perkotaan 73,4%.</w:t>
      </w:r>
      <w:r w:rsidRPr="008C65B3">
        <w:rPr>
          <w:rFonts w:ascii="Times New Roman" w:hAnsi="Times New Roman" w:cs="Times New Roman"/>
          <w:color w:val="FF0000"/>
          <w:sz w:val="20"/>
          <w:szCs w:val="20"/>
          <w:lang w:bidi="ar-SA"/>
        </w:rPr>
        <w:t xml:space="preserve"> </w:t>
      </w:r>
      <w:r w:rsidRPr="008C65B3">
        <w:rPr>
          <w:rFonts w:ascii="Times New Roman" w:hAnsi="Times New Roman" w:cs="Times New Roman"/>
          <w:sz w:val="20"/>
          <w:szCs w:val="20"/>
          <w:lang w:bidi="ar-SA"/>
        </w:rPr>
        <w:t>Karakteristik prediabetes di di wilayah pegunungan adalah jenis kelamin perempuan, usia 40-54 tahun, hipertensi, dan obesitas. Di wilayah pesisir adalah jenis kelamin perempuan, usia 40-54 tahun, hipertensi. Di wilayah perkotaan adalah jenis kelamin perempuan, usia 40-54 tahun, obesitas, dan tidak aktif beraktifitas. Faktor resiko di wilayah pegunungan adalah asam urat dan kolesterol (</w:t>
      </w:r>
      <w:r w:rsidRPr="008C65B3">
        <w:rPr>
          <w:rStyle w:val="A7"/>
          <w:rFonts w:ascii="Times New Roman" w:hAnsi="Times New Roman" w:cs="Times New Roman"/>
          <w:sz w:val="20"/>
          <w:szCs w:val="20"/>
        </w:rPr>
        <w:t xml:space="preserve">p &lt;0,05), di wilayah pesisir </w:t>
      </w:r>
      <w:r w:rsidRPr="008C65B3">
        <w:rPr>
          <w:rStyle w:val="A7"/>
          <w:rFonts w:ascii="Times New Roman" w:hAnsi="Times New Roman" w:cs="Times New Roman"/>
          <w:sz w:val="20"/>
          <w:szCs w:val="20"/>
        </w:rPr>
        <w:lastRenderedPageBreak/>
        <w:t>adalah asam urat, kolesterol dan penyakit pembuluh darah lainnya (p &lt;0,05), sedangkan di wilayah perkotaan adalah riwayat keturunan dan kolesterol (p &lt;0,05).</w:t>
      </w:r>
      <w:r w:rsidR="001B0109" w:rsidRPr="008C65B3">
        <w:rPr>
          <w:rFonts w:ascii="Times New Roman" w:hAnsi="Times New Roman" w:cs="Times New Roman"/>
          <w:b/>
          <w:color w:val="000000"/>
          <w:sz w:val="20"/>
          <w:szCs w:val="20"/>
        </w:rPr>
        <w:t xml:space="preserve"> </w:t>
      </w:r>
      <w:r w:rsidRPr="008C65B3">
        <w:rPr>
          <w:rStyle w:val="A12"/>
          <w:rFonts w:ascii="Times New Roman" w:hAnsi="Times New Roman" w:cs="Times New Roman"/>
          <w:sz w:val="20"/>
          <w:szCs w:val="20"/>
        </w:rPr>
        <w:t>Dengan melihat hubungan faktor risiko antar</w:t>
      </w:r>
      <w:r w:rsidR="001B0109" w:rsidRPr="008C65B3">
        <w:rPr>
          <w:rStyle w:val="A12"/>
          <w:rFonts w:ascii="Times New Roman" w:hAnsi="Times New Roman" w:cs="Times New Roman"/>
          <w:sz w:val="20"/>
          <w:szCs w:val="20"/>
        </w:rPr>
        <w:t>wilayah pegunungan, wilayah pesisir dan perkotaan</w:t>
      </w:r>
      <w:r w:rsidRPr="008C65B3">
        <w:rPr>
          <w:rStyle w:val="A12"/>
          <w:rFonts w:ascii="Times New Roman" w:hAnsi="Times New Roman" w:cs="Times New Roman"/>
          <w:sz w:val="20"/>
          <w:szCs w:val="20"/>
        </w:rPr>
        <w:t xml:space="preserve">, tidak ada faktor risiko yang </w:t>
      </w:r>
      <w:r w:rsidR="001B0109" w:rsidRPr="008C65B3">
        <w:rPr>
          <w:rStyle w:val="A12"/>
          <w:rFonts w:ascii="Times New Roman" w:hAnsi="Times New Roman" w:cs="Times New Roman"/>
          <w:sz w:val="20"/>
          <w:szCs w:val="20"/>
        </w:rPr>
        <w:t xml:space="preserve">sama </w:t>
      </w:r>
      <w:r w:rsidRPr="008C65B3">
        <w:rPr>
          <w:rStyle w:val="A12"/>
          <w:rFonts w:ascii="Times New Roman" w:hAnsi="Times New Roman" w:cs="Times New Roman"/>
          <w:sz w:val="20"/>
          <w:szCs w:val="20"/>
        </w:rPr>
        <w:t>dijumpai untuk ketiga kelompok prediabetes</w:t>
      </w:r>
      <w:r w:rsidR="001B0109" w:rsidRPr="008C65B3">
        <w:rPr>
          <w:rStyle w:val="A12"/>
          <w:rFonts w:ascii="Times New Roman" w:hAnsi="Times New Roman" w:cs="Times New Roman"/>
          <w:sz w:val="20"/>
          <w:szCs w:val="20"/>
        </w:rPr>
        <w:t xml:space="preserve"> di tiga wilayah</w:t>
      </w:r>
      <w:r w:rsidRPr="008C65B3">
        <w:rPr>
          <w:rStyle w:val="A12"/>
          <w:rFonts w:ascii="Times New Roman" w:hAnsi="Times New Roman" w:cs="Times New Roman"/>
          <w:sz w:val="20"/>
          <w:szCs w:val="20"/>
        </w:rPr>
        <w:t xml:space="preserve">. Dengan demikian, setiap kategori prediabetes memiliki faktor risiko yang hampir unik. </w:t>
      </w:r>
    </w:p>
    <w:p w:rsidR="001B0109" w:rsidRPr="008C65B3" w:rsidRDefault="001B0109" w:rsidP="00613FE3">
      <w:pPr>
        <w:autoSpaceDE w:val="0"/>
        <w:autoSpaceDN w:val="0"/>
        <w:adjustRightInd w:val="0"/>
        <w:spacing w:after="0" w:line="240" w:lineRule="auto"/>
        <w:jc w:val="both"/>
        <w:rPr>
          <w:rStyle w:val="A12"/>
          <w:rFonts w:ascii="Times New Roman" w:hAnsi="Times New Roman" w:cs="Times New Roman"/>
          <w:sz w:val="20"/>
          <w:szCs w:val="20"/>
        </w:rPr>
      </w:pPr>
    </w:p>
    <w:p w:rsidR="001B0109" w:rsidRPr="008C65B3" w:rsidRDefault="001B0109" w:rsidP="00613FE3">
      <w:pPr>
        <w:autoSpaceDE w:val="0"/>
        <w:autoSpaceDN w:val="0"/>
        <w:adjustRightInd w:val="0"/>
        <w:spacing w:after="0" w:line="240" w:lineRule="auto"/>
        <w:jc w:val="both"/>
        <w:rPr>
          <w:rStyle w:val="A12"/>
          <w:rFonts w:ascii="Times New Roman" w:hAnsi="Times New Roman" w:cs="Times New Roman"/>
          <w:sz w:val="20"/>
          <w:szCs w:val="20"/>
        </w:rPr>
      </w:pPr>
      <w:r w:rsidRPr="008C65B3">
        <w:rPr>
          <w:rStyle w:val="A12"/>
          <w:rFonts w:ascii="Times New Roman" w:hAnsi="Times New Roman" w:cs="Times New Roman"/>
          <w:sz w:val="20"/>
          <w:szCs w:val="20"/>
        </w:rPr>
        <w:t xml:space="preserve">Saran </w:t>
      </w:r>
    </w:p>
    <w:p w:rsidR="00703D95" w:rsidRPr="008C65B3" w:rsidRDefault="00615A44" w:rsidP="00613FE3">
      <w:pPr>
        <w:autoSpaceDE w:val="0"/>
        <w:autoSpaceDN w:val="0"/>
        <w:adjustRightInd w:val="0"/>
        <w:spacing w:after="0" w:line="240" w:lineRule="auto"/>
        <w:jc w:val="both"/>
        <w:rPr>
          <w:rFonts w:ascii="Times New Roman" w:hAnsi="Times New Roman" w:cs="Times New Roman"/>
          <w:sz w:val="20"/>
          <w:szCs w:val="20"/>
          <w:lang w:bidi="ar-SA"/>
        </w:rPr>
      </w:pPr>
      <w:r w:rsidRPr="008C65B3">
        <w:rPr>
          <w:rStyle w:val="A12"/>
          <w:rFonts w:ascii="Times New Roman" w:hAnsi="Times New Roman" w:cs="Times New Roman"/>
          <w:sz w:val="20"/>
          <w:szCs w:val="20"/>
        </w:rPr>
        <w:t>Keadaan ini memerlukan intervensi yang tepat, misalnya skrining pemeriksaan gula darah rutin y</w:t>
      </w:r>
      <w:r w:rsidR="001B0109" w:rsidRPr="008C65B3">
        <w:rPr>
          <w:rStyle w:val="A12"/>
          <w:rFonts w:ascii="Times New Roman" w:hAnsi="Times New Roman" w:cs="Times New Roman"/>
          <w:sz w:val="20"/>
          <w:szCs w:val="20"/>
        </w:rPr>
        <w:t>ang dimulai pada kelompok usia 4</w:t>
      </w:r>
      <w:r w:rsidRPr="008C65B3">
        <w:rPr>
          <w:rStyle w:val="A12"/>
          <w:rFonts w:ascii="Times New Roman" w:hAnsi="Times New Roman" w:cs="Times New Roman"/>
          <w:sz w:val="20"/>
          <w:szCs w:val="20"/>
        </w:rPr>
        <w:t xml:space="preserve">0 tahun hingga kelompok usia </w:t>
      </w:r>
      <w:r w:rsidR="001B0109" w:rsidRPr="008C65B3">
        <w:rPr>
          <w:rStyle w:val="A12"/>
          <w:rFonts w:ascii="Times New Roman" w:hAnsi="Times New Roman" w:cs="Times New Roman"/>
          <w:sz w:val="20"/>
          <w:szCs w:val="20"/>
        </w:rPr>
        <w:t>65</w:t>
      </w:r>
      <w:r w:rsidRPr="008C65B3">
        <w:rPr>
          <w:rStyle w:val="A12"/>
          <w:rFonts w:ascii="Times New Roman" w:hAnsi="Times New Roman" w:cs="Times New Roman"/>
          <w:sz w:val="20"/>
          <w:szCs w:val="20"/>
        </w:rPr>
        <w:t xml:space="preserve"> tahun ke atas untuk mencegah timbulnya </w:t>
      </w:r>
      <w:r w:rsidR="001B0109" w:rsidRPr="008C65B3">
        <w:rPr>
          <w:rStyle w:val="A12"/>
          <w:rFonts w:ascii="Times New Roman" w:hAnsi="Times New Roman" w:cs="Times New Roman"/>
          <w:sz w:val="20"/>
          <w:szCs w:val="20"/>
        </w:rPr>
        <w:t xml:space="preserve">prediabetes maupun diabetes </w:t>
      </w:r>
      <w:r w:rsidRPr="008C65B3">
        <w:rPr>
          <w:rStyle w:val="A12"/>
          <w:rFonts w:ascii="Times New Roman" w:hAnsi="Times New Roman" w:cs="Times New Roman"/>
          <w:sz w:val="20"/>
          <w:szCs w:val="20"/>
        </w:rPr>
        <w:t>mengingat penyakit metabolik tersebut sudah menjadi beban berat baik bagi penderita, orang-orang sekitar maupun sistem kesehatan negara secara tidak langsung.</w:t>
      </w:r>
      <w:r w:rsidR="001B0109" w:rsidRPr="008C65B3">
        <w:rPr>
          <w:rFonts w:ascii="Times New Roman" w:hAnsi="Times New Roman" w:cs="Times New Roman"/>
          <w:sz w:val="20"/>
          <w:szCs w:val="20"/>
          <w:lang w:bidi="ar-SA"/>
        </w:rPr>
        <w:t xml:space="preserve"> sehingga perlu dilakukan strategi pencegahan baik terhadap prediabetes maupun progresivitas prediabetes menjadi diabetes.</w:t>
      </w:r>
    </w:p>
    <w:p w:rsidR="001B0109" w:rsidRPr="008C65B3" w:rsidRDefault="001B0109" w:rsidP="00613FE3">
      <w:pPr>
        <w:autoSpaceDE w:val="0"/>
        <w:autoSpaceDN w:val="0"/>
        <w:adjustRightInd w:val="0"/>
        <w:spacing w:after="0" w:line="240" w:lineRule="auto"/>
        <w:jc w:val="both"/>
        <w:rPr>
          <w:rFonts w:ascii="Times New Roman" w:hAnsi="Times New Roman" w:cs="Times New Roman"/>
          <w:sz w:val="20"/>
          <w:szCs w:val="20"/>
          <w:lang w:bidi="ar-SA"/>
        </w:rPr>
      </w:pPr>
    </w:p>
    <w:p w:rsidR="001B0109" w:rsidRPr="008C65B3" w:rsidRDefault="001B0109" w:rsidP="001B0109">
      <w:pPr>
        <w:rPr>
          <w:rFonts w:ascii="Times New Roman" w:hAnsi="Times New Roman" w:cs="Times New Roman"/>
          <w:b/>
          <w:sz w:val="20"/>
          <w:szCs w:val="20"/>
        </w:rPr>
      </w:pPr>
      <w:r w:rsidRPr="008C65B3">
        <w:rPr>
          <w:rFonts w:ascii="Times New Roman" w:hAnsi="Times New Roman" w:cs="Times New Roman"/>
          <w:b/>
          <w:sz w:val="20"/>
          <w:szCs w:val="20"/>
        </w:rPr>
        <w:t>Daftar pustaka</w:t>
      </w:r>
    </w:p>
    <w:p w:rsidR="001B0109" w:rsidRPr="008C65B3" w:rsidRDefault="001B0109" w:rsidP="001B0109">
      <w:pPr>
        <w:pStyle w:val="Default"/>
        <w:numPr>
          <w:ilvl w:val="0"/>
          <w:numId w:val="1"/>
        </w:numPr>
        <w:jc w:val="both"/>
        <w:rPr>
          <w:color w:val="auto"/>
          <w:sz w:val="20"/>
          <w:szCs w:val="20"/>
        </w:rPr>
      </w:pPr>
      <w:r w:rsidRPr="008C65B3">
        <w:rPr>
          <w:rStyle w:val="A6"/>
          <w:color w:val="auto"/>
          <w:sz w:val="20"/>
          <w:szCs w:val="20"/>
        </w:rPr>
        <w:t xml:space="preserve">American Diabetes Association. (2014). Standards of medical care in diabetes. Diabetes Care. 37(Suppl. 1):S14-S80. Halaman S16. </w:t>
      </w:r>
      <w:hyperlink r:id="rId7" w:history="1">
        <w:r w:rsidRPr="008C65B3">
          <w:rPr>
            <w:rStyle w:val="Hyperlink"/>
            <w:color w:val="auto"/>
            <w:sz w:val="20"/>
            <w:szCs w:val="20"/>
            <w:u w:val="none"/>
          </w:rPr>
          <w:t>https://care.diabetesjournals.org/</w:t>
        </w:r>
      </w:hyperlink>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Adam J, Sanusi H. (2010). Faktor risiko kardiovaskular pada subyek dengan pre diabetes: kajian indeks massa tubuh, trigliserida, kolesterol HDL, CRP dan adiponektin. Adam F, Medicinus. Vol. 22 No. 4. 142-5.</w:t>
      </w:r>
    </w:p>
    <w:p w:rsidR="001B0109" w:rsidRPr="008C65B3" w:rsidRDefault="001B0109" w:rsidP="001B0109">
      <w:pPr>
        <w:pStyle w:val="Default"/>
        <w:numPr>
          <w:ilvl w:val="0"/>
          <w:numId w:val="1"/>
        </w:numPr>
        <w:jc w:val="both"/>
        <w:rPr>
          <w:color w:val="auto"/>
          <w:sz w:val="20"/>
          <w:szCs w:val="20"/>
        </w:rPr>
      </w:pPr>
      <w:r w:rsidRPr="008C65B3">
        <w:rPr>
          <w:rStyle w:val="A6"/>
          <w:sz w:val="20"/>
          <w:szCs w:val="20"/>
        </w:rPr>
        <w:t xml:space="preserve">Beaudoin M-S, Allen B, Mazzetti G, Sullivan PJ, Graham TE. (2013). Caffeine ingestion impairs insulin sensitivity in a dose-dependent manner in both men and women. Appl Physiol Nutr Metab. 38:140-7 </w:t>
      </w:r>
      <w:r w:rsidRPr="008C65B3">
        <w:rPr>
          <w:rFonts w:eastAsia="Times New Roman"/>
          <w:color w:val="575757"/>
          <w:sz w:val="20"/>
          <w:szCs w:val="20"/>
        </w:rPr>
        <w:t>DOI:</w:t>
      </w:r>
      <w:hyperlink r:id="rId8" w:tgtFrame="_blank" w:history="1">
        <w:r w:rsidRPr="008C65B3">
          <w:rPr>
            <w:rFonts w:eastAsia="Times New Roman"/>
            <w:color w:val="333333"/>
            <w:sz w:val="20"/>
            <w:szCs w:val="20"/>
          </w:rPr>
          <w:t>10.1139/apnm-2012-0201</w:t>
        </w:r>
      </w:hyperlink>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 xml:space="preserve">Bock G, C, M, et al.(2012). Pathogenesis of pre-diabetes: mechanisms of fasting and postprandial hyperglycemia in people with impaired fasting glucose and/or impaired glucose tolerance. Diabetes Care 55:3536–3549. </w:t>
      </w:r>
      <w:hyperlink r:id="rId9" w:history="1">
        <w:r w:rsidRPr="008C65B3">
          <w:rPr>
            <w:rStyle w:val="Hyperlink"/>
            <w:rFonts w:ascii="Times New Roman" w:hAnsi="Times New Roman" w:cs="Times New Roman"/>
            <w:color w:val="auto"/>
            <w:sz w:val="20"/>
            <w:szCs w:val="20"/>
            <w:u w:val="none"/>
          </w:rPr>
          <w:t>https://care.diabetesjournals.org/</w:t>
        </w:r>
      </w:hyperlink>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Style w:val="A0"/>
          <w:rFonts w:ascii="Times New Roman" w:hAnsi="Times New Roman" w:cs="Times New Roman"/>
          <w:sz w:val="20"/>
          <w:szCs w:val="20"/>
        </w:rPr>
        <w:t xml:space="preserve">Balagopal P, N, </w:t>
      </w:r>
      <w:r w:rsidRPr="008C65B3">
        <w:rPr>
          <w:rStyle w:val="A0"/>
          <w:rFonts w:ascii="Times New Roman" w:hAnsi="Times New Roman" w:cs="Times New Roman"/>
          <w:color w:val="auto"/>
          <w:sz w:val="20"/>
          <w:szCs w:val="20"/>
        </w:rPr>
        <w:t>TG, et al.</w:t>
      </w:r>
      <w:r w:rsidRPr="008C65B3">
        <w:rPr>
          <w:rStyle w:val="A0"/>
          <w:rFonts w:ascii="Times New Roman" w:hAnsi="Times New Roman" w:cs="Times New Roman"/>
          <w:sz w:val="20"/>
          <w:szCs w:val="20"/>
        </w:rPr>
        <w:t>(2008).</w:t>
      </w:r>
      <w:r w:rsidRPr="008C65B3">
        <w:rPr>
          <w:rStyle w:val="A0"/>
          <w:rFonts w:ascii="Times New Roman" w:hAnsi="Times New Roman" w:cs="Times New Roman"/>
          <w:color w:val="auto"/>
          <w:sz w:val="20"/>
          <w:szCs w:val="20"/>
        </w:rPr>
        <w:t xml:space="preserve"> A community-based diabetes prevention and management education program in a rural village in India. Diabetes Care. 31:1097-106.</w:t>
      </w:r>
      <w:r w:rsidRPr="008C65B3">
        <w:rPr>
          <w:rFonts w:ascii="Times New Roman" w:hAnsi="Times New Roman" w:cs="Times New Roman"/>
          <w:sz w:val="20"/>
          <w:szCs w:val="20"/>
        </w:rPr>
        <w:t xml:space="preserve"> </w:t>
      </w:r>
      <w:hyperlink r:id="rId10" w:history="1">
        <w:r w:rsidRPr="008C65B3">
          <w:rPr>
            <w:rStyle w:val="Hyperlink"/>
            <w:rFonts w:ascii="Times New Roman" w:hAnsi="Times New Roman" w:cs="Times New Roman"/>
            <w:color w:val="auto"/>
            <w:sz w:val="20"/>
            <w:szCs w:val="20"/>
            <w:u w:val="none"/>
          </w:rPr>
          <w:t>https://care.diabetesjournals.org/</w:t>
        </w:r>
      </w:hyperlink>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Style w:val="A6"/>
          <w:rFonts w:ascii="Times New Roman" w:hAnsi="Times New Roman" w:cs="Times New Roman"/>
          <w:color w:val="auto"/>
          <w:sz w:val="20"/>
          <w:szCs w:val="20"/>
        </w:rPr>
        <w:t>Ding M, Bhupathiraju SN, Chen M, van Dam RM, Hu FB.</w:t>
      </w:r>
      <w:r w:rsidRPr="008C65B3">
        <w:rPr>
          <w:rStyle w:val="A6"/>
          <w:rFonts w:ascii="Times New Roman" w:hAnsi="Times New Roman" w:cs="Times New Roman"/>
          <w:sz w:val="20"/>
          <w:szCs w:val="20"/>
        </w:rPr>
        <w:t>(2014).</w:t>
      </w:r>
      <w:r w:rsidRPr="008C65B3">
        <w:rPr>
          <w:rStyle w:val="A6"/>
          <w:rFonts w:ascii="Times New Roman" w:hAnsi="Times New Roman" w:cs="Times New Roman"/>
          <w:color w:val="auto"/>
          <w:sz w:val="20"/>
          <w:szCs w:val="20"/>
        </w:rPr>
        <w:t xml:space="preserve"> Caffeinated and decaffeinated coffee consumption and risk of type 2 diabetes: A systematic review and a dose-response meta-analysis. Diabetes Care. 37:569-86. </w:t>
      </w:r>
      <w:r w:rsidRPr="008C65B3">
        <w:rPr>
          <w:rStyle w:val="A0"/>
          <w:rFonts w:ascii="Times New Roman" w:hAnsi="Times New Roman" w:cs="Times New Roman"/>
          <w:color w:val="auto"/>
          <w:sz w:val="20"/>
          <w:szCs w:val="20"/>
        </w:rPr>
        <w:t>.</w:t>
      </w:r>
      <w:r w:rsidRPr="008C65B3">
        <w:rPr>
          <w:rFonts w:ascii="Times New Roman" w:hAnsi="Times New Roman" w:cs="Times New Roman"/>
          <w:sz w:val="20"/>
          <w:szCs w:val="20"/>
        </w:rPr>
        <w:t xml:space="preserve"> </w:t>
      </w:r>
      <w:hyperlink r:id="rId11" w:history="1">
        <w:r w:rsidRPr="008C65B3">
          <w:rPr>
            <w:rStyle w:val="Hyperlink"/>
            <w:rFonts w:ascii="Times New Roman" w:hAnsi="Times New Roman" w:cs="Times New Roman"/>
            <w:color w:val="auto"/>
            <w:sz w:val="20"/>
            <w:szCs w:val="20"/>
            <w:u w:val="none"/>
          </w:rPr>
          <w:t>https://care.diabetesjournals.org/</w:t>
        </w:r>
      </w:hyperlink>
    </w:p>
    <w:p w:rsidR="001B0109" w:rsidRPr="008C65B3" w:rsidRDefault="001B0109" w:rsidP="001B0109">
      <w:pPr>
        <w:pStyle w:val="ListParagraph"/>
        <w:numPr>
          <w:ilvl w:val="0"/>
          <w:numId w:val="1"/>
        </w:numPr>
        <w:autoSpaceDE w:val="0"/>
        <w:autoSpaceDN w:val="0"/>
        <w:adjustRightInd w:val="0"/>
        <w:spacing w:after="0" w:line="240" w:lineRule="auto"/>
        <w:jc w:val="both"/>
        <w:rPr>
          <w:rStyle w:val="A6"/>
          <w:rFonts w:ascii="Times New Roman" w:hAnsi="Times New Roman" w:cs="Times New Roman"/>
          <w:color w:val="auto"/>
          <w:sz w:val="20"/>
          <w:szCs w:val="20"/>
          <w:lang w:bidi="ar-SA"/>
        </w:rPr>
      </w:pPr>
      <w:r w:rsidRPr="008C65B3">
        <w:rPr>
          <w:rFonts w:ascii="Times New Roman" w:hAnsi="Times New Roman" w:cs="Times New Roman"/>
          <w:sz w:val="20"/>
          <w:szCs w:val="20"/>
          <w:lang w:bidi="ar-SA"/>
        </w:rPr>
        <w:t xml:space="preserve">Dwipayana MP, K, I, W, </w:t>
      </w:r>
      <w:r w:rsidRPr="008C65B3">
        <w:rPr>
          <w:rFonts w:ascii="Times New Roman" w:eastAsia="Calibri-Italic" w:hAnsi="Times New Roman" w:cs="Times New Roman"/>
          <w:i/>
          <w:iCs/>
          <w:sz w:val="20"/>
          <w:szCs w:val="20"/>
          <w:lang w:bidi="ar-SA"/>
        </w:rPr>
        <w:t>et al</w:t>
      </w:r>
      <w:r w:rsidRPr="008C65B3">
        <w:rPr>
          <w:rFonts w:ascii="Times New Roman" w:hAnsi="Times New Roman" w:cs="Times New Roman"/>
          <w:sz w:val="20"/>
          <w:szCs w:val="20"/>
          <w:lang w:bidi="ar-SA"/>
        </w:rPr>
        <w:t xml:space="preserve">.(2011). Prevalensi sindroma metabolik pada populasi penduduk bali, indonesia. </w:t>
      </w:r>
      <w:r w:rsidRPr="008C65B3">
        <w:rPr>
          <w:rFonts w:ascii="Times New Roman" w:eastAsia="Calibri-Italic" w:hAnsi="Times New Roman" w:cs="Times New Roman"/>
          <w:i/>
          <w:iCs/>
          <w:sz w:val="20"/>
          <w:szCs w:val="20"/>
          <w:lang w:bidi="ar-SA"/>
        </w:rPr>
        <w:t>Jurnal Penyakit Dalam</w:t>
      </w:r>
      <w:r w:rsidRPr="008C65B3">
        <w:rPr>
          <w:rFonts w:ascii="Times New Roman" w:hAnsi="Times New Roman" w:cs="Times New Roman"/>
          <w:sz w:val="20"/>
          <w:szCs w:val="20"/>
          <w:lang w:bidi="ar-SA"/>
        </w:rPr>
        <w:t>. 12(1):1–5.</w:t>
      </w:r>
    </w:p>
    <w:p w:rsidR="001B0109" w:rsidRPr="008C65B3" w:rsidRDefault="001B0109" w:rsidP="001B0109">
      <w:pPr>
        <w:pStyle w:val="Default"/>
        <w:numPr>
          <w:ilvl w:val="0"/>
          <w:numId w:val="1"/>
        </w:numPr>
        <w:jc w:val="both"/>
        <w:rPr>
          <w:color w:val="auto"/>
          <w:sz w:val="20"/>
          <w:szCs w:val="20"/>
        </w:rPr>
      </w:pPr>
      <w:r w:rsidRPr="008C65B3">
        <w:rPr>
          <w:rFonts w:eastAsia="TimesNewRomanPSMT"/>
          <w:color w:val="auto"/>
          <w:sz w:val="20"/>
          <w:szCs w:val="20"/>
        </w:rPr>
        <w:t xml:space="preserve">ESC and EASC Guidelines.(2007). Guidelines on diabetes, prediabetes, and cardiovascular diseases. Eur Heart J. 9 (Supplement C), C3–C74. </w:t>
      </w:r>
      <w:r w:rsidRPr="008C65B3">
        <w:rPr>
          <w:rFonts w:eastAsia="Times New Roman"/>
          <w:color w:val="auto"/>
          <w:sz w:val="20"/>
          <w:szCs w:val="20"/>
        </w:rPr>
        <w:t>DOI:</w:t>
      </w:r>
      <w:hyperlink r:id="rId12" w:tgtFrame="_blank" w:history="1">
        <w:r w:rsidRPr="008C65B3">
          <w:rPr>
            <w:rFonts w:eastAsia="Times New Roman"/>
            <w:color w:val="auto"/>
            <w:sz w:val="20"/>
            <w:szCs w:val="20"/>
            <w:u w:val="single"/>
          </w:rPr>
          <w:t>10.1093/eurheartj/ehl260</w:t>
        </w:r>
      </w:hyperlink>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eastAsia="TimesNewRomanPSMT" w:hAnsi="Times New Roman" w:cs="Times New Roman"/>
          <w:sz w:val="20"/>
          <w:szCs w:val="20"/>
          <w:lang w:bidi="ar-SA"/>
        </w:rPr>
        <w:t>Garber AJ, Y,  D, DA, et al.(2008). Diagnosis and Management of Prediabetes in the Continuum of Hyperglycemia—When Do the Risks of Diabetes Begin? A Consensus Statement from the American College of Endocrinology and the American Association of Clinical Endocrinologists. Endocr Pract. 14(7):933-46.</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Heymsfield SB,  KR,  J, et al.(2000). Effects of weight loss with orlistat on glucose tolerance and progression to type 2 diabetes in obese adults. Arch Intern Med. 160:1321-1326</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Handayani.,( 2012). Modifikasi Gaya Hidup dan Intervebsi Farmakologis Dini untuk Pencegahan Penyakit Diabetes Mellitus Tipe 2. Dinas Kesehatan Provinsi Nusa Tenggara Barat</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Indra Kurniawan. (2010).Diabetes Melitus Tipe 2 pada Usia Lanjut. Maj Kedokt Indon, Vol. 60, No. 12</w:t>
      </w:r>
    </w:p>
    <w:p w:rsidR="001B0109" w:rsidRPr="008C65B3" w:rsidRDefault="001B0109" w:rsidP="001B0109">
      <w:pPr>
        <w:pStyle w:val="ListParagraph"/>
        <w:numPr>
          <w:ilvl w:val="0"/>
          <w:numId w:val="1"/>
        </w:numPr>
        <w:jc w:val="both"/>
        <w:rPr>
          <w:rFonts w:ascii="Times New Roman" w:hAnsi="Times New Roman" w:cs="Times New Roman"/>
          <w:sz w:val="20"/>
          <w:szCs w:val="20"/>
        </w:rPr>
      </w:pPr>
      <w:r w:rsidRPr="008C65B3">
        <w:rPr>
          <w:rFonts w:ascii="Times New Roman" w:hAnsi="Times New Roman" w:cs="Times New Roman"/>
          <w:sz w:val="20"/>
          <w:szCs w:val="20"/>
        </w:rPr>
        <w:t xml:space="preserve">Kemenkes, RI.( 2014). </w:t>
      </w:r>
      <w:r w:rsidRPr="008C65B3">
        <w:rPr>
          <w:rFonts w:ascii="Times New Roman" w:hAnsi="Times New Roman" w:cs="Times New Roman"/>
          <w:i/>
          <w:sz w:val="20"/>
          <w:szCs w:val="20"/>
        </w:rPr>
        <w:t>Infodatin Diabetes</w:t>
      </w:r>
      <w:r w:rsidRPr="008C65B3">
        <w:rPr>
          <w:rFonts w:ascii="Times New Roman" w:hAnsi="Times New Roman" w:cs="Times New Roman"/>
          <w:sz w:val="20"/>
          <w:szCs w:val="20"/>
        </w:rPr>
        <w:t xml:space="preserve">. Jakarta: Pusat data dan informasi Kemenkes RI. Tersedia di: http://www.depkes.go.id/download. </w:t>
      </w:r>
    </w:p>
    <w:p w:rsidR="001B0109" w:rsidRPr="008C65B3" w:rsidRDefault="001B0109" w:rsidP="001B0109">
      <w:pPr>
        <w:pStyle w:val="ListParagraph"/>
        <w:numPr>
          <w:ilvl w:val="0"/>
          <w:numId w:val="1"/>
        </w:numPr>
        <w:tabs>
          <w:tab w:val="left" w:pos="426"/>
        </w:tabs>
        <w:autoSpaceDE w:val="0"/>
        <w:autoSpaceDN w:val="0"/>
        <w:adjustRightInd w:val="0"/>
        <w:spacing w:after="0" w:line="240" w:lineRule="auto"/>
        <w:jc w:val="both"/>
        <w:rPr>
          <w:rFonts w:ascii="Times New Roman" w:hAnsi="Times New Roman" w:cs="Times New Roman"/>
          <w:sz w:val="20"/>
          <w:szCs w:val="20"/>
        </w:rPr>
      </w:pPr>
      <w:r w:rsidRPr="008C65B3">
        <w:rPr>
          <w:rFonts w:ascii="Times New Roman" w:hAnsi="Times New Roman" w:cs="Times New Roman"/>
          <w:sz w:val="20"/>
          <w:szCs w:val="20"/>
        </w:rPr>
        <w:t xml:space="preserve">_____________.(2014b). </w:t>
      </w:r>
      <w:r w:rsidRPr="008C65B3">
        <w:rPr>
          <w:rFonts w:ascii="Times New Roman" w:hAnsi="Times New Roman" w:cs="Times New Roman"/>
          <w:i/>
          <w:iCs/>
          <w:sz w:val="20"/>
          <w:szCs w:val="20"/>
        </w:rPr>
        <w:t>Pedoman Gizi Seimbang</w:t>
      </w:r>
      <w:r w:rsidRPr="008C65B3">
        <w:rPr>
          <w:rFonts w:ascii="Times New Roman" w:hAnsi="Times New Roman" w:cs="Times New Roman"/>
          <w:sz w:val="20"/>
          <w:szCs w:val="20"/>
        </w:rPr>
        <w:t>. Jakarta (ID) : Kementerian Kesehatan Republik Indonesia</w:t>
      </w:r>
    </w:p>
    <w:p w:rsidR="001B0109" w:rsidRPr="008C65B3" w:rsidRDefault="001B0109" w:rsidP="001B0109">
      <w:pPr>
        <w:ind w:left="426"/>
        <w:jc w:val="both"/>
        <w:rPr>
          <w:rFonts w:ascii="Times New Roman" w:hAnsi="Times New Roman" w:cs="Times New Roman"/>
          <w:sz w:val="20"/>
          <w:szCs w:val="20"/>
        </w:rPr>
      </w:pP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 xml:space="preserve">Kalyani RR, Egan JM.(2013). Diabetes and altered glucose metabolism with aging. </w:t>
      </w:r>
      <w:r w:rsidRPr="008C65B3">
        <w:rPr>
          <w:rFonts w:ascii="Times New Roman" w:eastAsia="Calibri-Italic" w:hAnsi="Times New Roman" w:cs="Times New Roman"/>
          <w:i/>
          <w:iCs/>
          <w:sz w:val="20"/>
          <w:szCs w:val="20"/>
          <w:lang w:bidi="ar-SA"/>
        </w:rPr>
        <w:t>Endocrinol</w:t>
      </w:r>
      <w:r w:rsidRPr="008C65B3">
        <w:rPr>
          <w:rFonts w:ascii="Times New Roman" w:hAnsi="Times New Roman" w:cs="Times New Roman"/>
          <w:sz w:val="20"/>
          <w:szCs w:val="20"/>
          <w:lang w:bidi="ar-SA"/>
        </w:rPr>
        <w:t xml:space="preserve"> </w:t>
      </w:r>
      <w:r w:rsidRPr="008C65B3">
        <w:rPr>
          <w:rFonts w:ascii="Times New Roman" w:eastAsia="Calibri-Italic" w:hAnsi="Times New Roman" w:cs="Times New Roman"/>
          <w:i/>
          <w:iCs/>
          <w:sz w:val="20"/>
          <w:szCs w:val="20"/>
          <w:lang w:bidi="ar-SA"/>
        </w:rPr>
        <w:t>Metab Clin North Am</w:t>
      </w:r>
      <w:r w:rsidRPr="008C65B3">
        <w:rPr>
          <w:rFonts w:ascii="Times New Roman" w:hAnsi="Times New Roman" w:cs="Times New Roman"/>
          <w:sz w:val="20"/>
          <w:szCs w:val="20"/>
          <w:lang w:bidi="ar-SA"/>
        </w:rPr>
        <w:t>. 42(2):333–47.</w:t>
      </w:r>
    </w:p>
    <w:p w:rsidR="001B0109" w:rsidRPr="008C65B3" w:rsidRDefault="001B0109" w:rsidP="001B0109">
      <w:pPr>
        <w:pStyle w:val="Default"/>
        <w:numPr>
          <w:ilvl w:val="0"/>
          <w:numId w:val="1"/>
        </w:numPr>
        <w:jc w:val="both"/>
        <w:rPr>
          <w:color w:val="auto"/>
          <w:sz w:val="20"/>
          <w:szCs w:val="20"/>
        </w:rPr>
      </w:pPr>
      <w:r w:rsidRPr="008C65B3">
        <w:rPr>
          <w:rStyle w:val="A6"/>
          <w:color w:val="auto"/>
          <w:sz w:val="20"/>
          <w:szCs w:val="20"/>
        </w:rPr>
        <w:t xml:space="preserve">Kementerian Kesehatan (2013). </w:t>
      </w:r>
      <w:r w:rsidRPr="008C65B3">
        <w:rPr>
          <w:rStyle w:val="A6"/>
          <w:i/>
          <w:color w:val="auto"/>
          <w:sz w:val="20"/>
          <w:szCs w:val="20"/>
        </w:rPr>
        <w:t>Laporan Riset Kesehatan Dasar (Riskesdas) 2013</w:t>
      </w:r>
      <w:r w:rsidRPr="008C65B3">
        <w:rPr>
          <w:rStyle w:val="A6"/>
          <w:color w:val="auto"/>
          <w:sz w:val="20"/>
          <w:szCs w:val="20"/>
        </w:rPr>
        <w:t>. Jakarta: Badan Litbangkes, Kemenkes RI</w:t>
      </w:r>
    </w:p>
    <w:p w:rsidR="001B0109" w:rsidRPr="008C65B3" w:rsidRDefault="001B0109" w:rsidP="001B0109">
      <w:pPr>
        <w:pStyle w:val="ListParagraph"/>
        <w:numPr>
          <w:ilvl w:val="0"/>
          <w:numId w:val="1"/>
        </w:numPr>
        <w:tabs>
          <w:tab w:val="left" w:pos="426"/>
        </w:tabs>
        <w:autoSpaceDE w:val="0"/>
        <w:autoSpaceDN w:val="0"/>
        <w:adjustRightInd w:val="0"/>
        <w:spacing w:after="0" w:line="240" w:lineRule="auto"/>
        <w:jc w:val="both"/>
        <w:rPr>
          <w:rFonts w:ascii="Times New Roman" w:hAnsi="Times New Roman" w:cs="Times New Roman"/>
          <w:sz w:val="20"/>
          <w:szCs w:val="20"/>
        </w:rPr>
      </w:pPr>
      <w:r w:rsidRPr="008C65B3">
        <w:rPr>
          <w:rFonts w:ascii="Times New Roman" w:hAnsi="Times New Roman" w:cs="Times New Roman"/>
          <w:sz w:val="20"/>
          <w:szCs w:val="20"/>
        </w:rPr>
        <w:t xml:space="preserve">_____________.2014b. </w:t>
      </w:r>
      <w:r w:rsidRPr="008C65B3">
        <w:rPr>
          <w:rFonts w:ascii="Times New Roman" w:hAnsi="Times New Roman" w:cs="Times New Roman"/>
          <w:i/>
          <w:iCs/>
          <w:sz w:val="20"/>
          <w:szCs w:val="20"/>
        </w:rPr>
        <w:t>Pedoman Gizi Seimbang</w:t>
      </w:r>
      <w:r w:rsidRPr="008C65B3">
        <w:rPr>
          <w:rFonts w:ascii="Times New Roman" w:hAnsi="Times New Roman" w:cs="Times New Roman"/>
          <w:sz w:val="20"/>
          <w:szCs w:val="20"/>
        </w:rPr>
        <w:t>. Jakarta (ID) : Kementerian Kesehatan Republik Indonesia</w:t>
      </w:r>
    </w:p>
    <w:p w:rsidR="001B0109" w:rsidRPr="008C65B3" w:rsidRDefault="001B0109" w:rsidP="001B0109">
      <w:pPr>
        <w:pStyle w:val="ListParagraph"/>
        <w:numPr>
          <w:ilvl w:val="0"/>
          <w:numId w:val="1"/>
        </w:numPr>
        <w:tabs>
          <w:tab w:val="left" w:pos="426"/>
        </w:tabs>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lastRenderedPageBreak/>
        <w:t>Lastra G, S,  L,et.al.(2014). Type 2 diabetes mellitus and hypertension: An update. Endocrinol Metab Clin North Am. 43(1): 103–122.</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 xml:space="preserve">Mirarefin M, F, F, MR, et al (2014). Waist circumference and insulin resistance in elderly men: an analysis of Kahrizak elderly study. </w:t>
      </w:r>
      <w:r w:rsidRPr="008C65B3">
        <w:rPr>
          <w:rFonts w:ascii="Times New Roman" w:hAnsi="Times New Roman" w:cs="Times New Roman"/>
          <w:i/>
          <w:iCs/>
          <w:sz w:val="20"/>
          <w:szCs w:val="20"/>
        </w:rPr>
        <w:t>Journal of Diabetes &amp; Metabolic Disorders</w:t>
      </w:r>
      <w:r w:rsidRPr="008C65B3">
        <w:rPr>
          <w:rFonts w:ascii="Times New Roman" w:hAnsi="Times New Roman" w:cs="Times New Roman"/>
          <w:sz w:val="20"/>
          <w:szCs w:val="20"/>
        </w:rPr>
        <w:t>. 13 (28) : 1-7.</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 xml:space="preserve">Manaf A. Prediabetes. Diakses dari: http://repository.unand.ac.id/89/1/Pre_Diabetes.pdf. </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Nasrul, Soffitri. (2012).</w:t>
      </w:r>
      <w:r w:rsidRPr="008C65B3">
        <w:rPr>
          <w:rFonts w:ascii="Times New Roman" w:hAnsi="Times New Roman" w:cs="Times New Roman"/>
          <w:bCs/>
          <w:sz w:val="20"/>
          <w:szCs w:val="20"/>
          <w:lang w:bidi="ar-SA"/>
        </w:rPr>
        <w:t xml:space="preserve"> Hiperurisemia pada Pra Diabetes. Jurnal </w:t>
      </w:r>
      <w:r w:rsidRPr="008C65B3">
        <w:rPr>
          <w:rFonts w:ascii="Times New Roman" w:hAnsi="Times New Roman" w:cs="Times New Roman"/>
          <w:color w:val="595959"/>
          <w:sz w:val="20"/>
          <w:szCs w:val="20"/>
          <w:lang w:bidi="ar-SA"/>
        </w:rPr>
        <w:t>Kesehatan Andalas. 1(2)</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 xml:space="preserve">O‟Connor A, Wellenius G. (2012). Rural urban disparities in the prevalence of diabetes and coronary heart disease. </w:t>
      </w:r>
      <w:r w:rsidRPr="008C65B3">
        <w:rPr>
          <w:rFonts w:ascii="Times New Roman" w:hAnsi="Times New Roman" w:cs="Times New Roman"/>
          <w:i/>
          <w:iCs/>
          <w:sz w:val="20"/>
          <w:szCs w:val="20"/>
        </w:rPr>
        <w:t>Public Health</w:t>
      </w:r>
      <w:r w:rsidRPr="008C65B3">
        <w:rPr>
          <w:rFonts w:ascii="Times New Roman" w:hAnsi="Times New Roman" w:cs="Times New Roman"/>
          <w:sz w:val="20"/>
          <w:szCs w:val="20"/>
        </w:rPr>
        <w:t>. 126 : 813-820. doi:10.1016/j.puhe..05.029.</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 xml:space="preserve">Ranasinghe P, Mathangasinghe Y, Jayawardena R, Hills AP, Misra A.(2017). Prevalence and trends of metabolic syndrome among adults in the asiapacific region: a systematic review. </w:t>
      </w:r>
      <w:r w:rsidRPr="008C65B3">
        <w:rPr>
          <w:rFonts w:ascii="Times New Roman" w:eastAsia="Calibri-Italic" w:hAnsi="Times New Roman" w:cs="Times New Roman"/>
          <w:i/>
          <w:iCs/>
          <w:sz w:val="20"/>
          <w:szCs w:val="20"/>
          <w:lang w:bidi="ar-SA"/>
        </w:rPr>
        <w:t>BMC Public</w:t>
      </w:r>
      <w:r w:rsidRPr="008C65B3">
        <w:rPr>
          <w:rFonts w:ascii="Times New Roman" w:hAnsi="Times New Roman" w:cs="Times New Roman"/>
          <w:sz w:val="20"/>
          <w:szCs w:val="20"/>
          <w:lang w:bidi="ar-SA"/>
        </w:rPr>
        <w:t xml:space="preserve"> </w:t>
      </w:r>
      <w:r w:rsidRPr="008C65B3">
        <w:rPr>
          <w:rFonts w:ascii="Times New Roman" w:eastAsia="Calibri-Italic" w:hAnsi="Times New Roman" w:cs="Times New Roman"/>
          <w:i/>
          <w:iCs/>
          <w:sz w:val="20"/>
          <w:szCs w:val="20"/>
          <w:lang w:bidi="ar-SA"/>
        </w:rPr>
        <w:t xml:space="preserve">Health. </w:t>
      </w:r>
      <w:r w:rsidRPr="008C65B3">
        <w:rPr>
          <w:rFonts w:ascii="Times New Roman" w:hAnsi="Times New Roman" w:cs="Times New Roman"/>
          <w:sz w:val="20"/>
          <w:szCs w:val="20"/>
          <w:lang w:bidi="ar-SA"/>
        </w:rPr>
        <w:t>17(1):101.</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 xml:space="preserve">Sobngwi E, JCN, NC, AP. (2002). Physical activity and its relationship with obesity, hypertension and diabetes in urban and rural Cameroon. </w:t>
      </w:r>
      <w:r w:rsidRPr="008C65B3">
        <w:rPr>
          <w:rFonts w:ascii="Times New Roman" w:hAnsi="Times New Roman" w:cs="Times New Roman"/>
          <w:i/>
          <w:iCs/>
          <w:sz w:val="20"/>
          <w:szCs w:val="20"/>
        </w:rPr>
        <w:t>International Journal of Obesity</w:t>
      </w:r>
      <w:r w:rsidRPr="008C65B3">
        <w:rPr>
          <w:rFonts w:ascii="Times New Roman" w:hAnsi="Times New Roman" w:cs="Times New Roman"/>
          <w:sz w:val="20"/>
          <w:szCs w:val="20"/>
        </w:rPr>
        <w:t>. 26: 1009 – 1016. doi:10.1038/sj.ijo.0802008</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Style w:val="A0"/>
          <w:rFonts w:ascii="Times New Roman" w:hAnsi="Times New Roman" w:cs="Times New Roman"/>
          <w:color w:val="auto"/>
          <w:sz w:val="20"/>
          <w:szCs w:val="20"/>
        </w:rPr>
        <w:t xml:space="preserve">Syeed MA, Mahtab HM, Khanam PA, et al. </w:t>
      </w:r>
      <w:r w:rsidRPr="008C65B3">
        <w:rPr>
          <w:rStyle w:val="A0"/>
          <w:rFonts w:ascii="Times New Roman" w:hAnsi="Times New Roman" w:cs="Times New Roman"/>
          <w:sz w:val="20"/>
          <w:szCs w:val="20"/>
        </w:rPr>
        <w:t xml:space="preserve">(2003). </w:t>
      </w:r>
      <w:r w:rsidRPr="008C65B3">
        <w:rPr>
          <w:rStyle w:val="A0"/>
          <w:rFonts w:ascii="Times New Roman" w:hAnsi="Times New Roman" w:cs="Times New Roman"/>
          <w:color w:val="auto"/>
          <w:sz w:val="20"/>
          <w:szCs w:val="20"/>
        </w:rPr>
        <w:t>Diabetes and impaired fasting glycemia in a rural population of Bangladesh. Diabetes Care. 26:1034-9. .</w:t>
      </w:r>
      <w:r w:rsidRPr="008C65B3">
        <w:rPr>
          <w:rFonts w:ascii="Times New Roman" w:hAnsi="Times New Roman" w:cs="Times New Roman"/>
          <w:sz w:val="20"/>
          <w:szCs w:val="20"/>
        </w:rPr>
        <w:t xml:space="preserve"> </w:t>
      </w:r>
      <w:hyperlink r:id="rId13" w:history="1">
        <w:r w:rsidRPr="008C65B3">
          <w:rPr>
            <w:rStyle w:val="Hyperlink"/>
            <w:rFonts w:ascii="Times New Roman" w:hAnsi="Times New Roman" w:cs="Times New Roman"/>
            <w:color w:val="auto"/>
            <w:sz w:val="20"/>
            <w:szCs w:val="20"/>
            <w:u w:val="none"/>
          </w:rPr>
          <w:t>https://care.diabetesjournals.org/</w:t>
        </w:r>
      </w:hyperlink>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lang w:bidi="ar-SA"/>
        </w:rPr>
        <w:t xml:space="preserve">Soewondo, Pramono. (2011). </w:t>
      </w:r>
      <w:r w:rsidRPr="008C65B3">
        <w:rPr>
          <w:rFonts w:ascii="Times New Roman" w:hAnsi="Times New Roman" w:cs="Times New Roman"/>
          <w:bCs/>
          <w:sz w:val="20"/>
          <w:szCs w:val="20"/>
          <w:lang w:bidi="ar-SA"/>
        </w:rPr>
        <w:t xml:space="preserve">Prevalence, characteristics, and predictors of pre-diabetes in Indonesia. </w:t>
      </w:r>
      <w:r w:rsidRPr="008C65B3">
        <w:rPr>
          <w:rFonts w:ascii="Times New Roman" w:hAnsi="Times New Roman" w:cs="Times New Roman"/>
          <w:iCs/>
          <w:sz w:val="20"/>
          <w:szCs w:val="20"/>
          <w:lang w:bidi="ar-SA"/>
        </w:rPr>
        <w:t>Department of Internal Medicine, Faculty of Medicine, Universitas Indonesia, Jakarta, Indonesia. Med J Indones. 20(4):283-94</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 xml:space="preserve">Tabák, A. G., C. (2012). Prediabetes: a high-risk state for diabetes development. </w:t>
      </w:r>
      <w:r w:rsidRPr="008C65B3">
        <w:rPr>
          <w:rFonts w:ascii="Times New Roman" w:hAnsi="Times New Roman" w:cs="Times New Roman"/>
          <w:i/>
          <w:iCs/>
          <w:sz w:val="20"/>
          <w:szCs w:val="20"/>
        </w:rPr>
        <w:t>The Lancet</w:t>
      </w:r>
      <w:r w:rsidRPr="008C65B3">
        <w:rPr>
          <w:rFonts w:ascii="Times New Roman" w:hAnsi="Times New Roman" w:cs="Times New Roman"/>
          <w:sz w:val="20"/>
          <w:szCs w:val="20"/>
        </w:rPr>
        <w:t>,</w:t>
      </w:r>
      <w:r w:rsidRPr="008C65B3">
        <w:rPr>
          <w:rFonts w:ascii="Times New Roman" w:hAnsi="Times New Roman" w:cs="Times New Roman"/>
          <w:i/>
          <w:iCs/>
          <w:sz w:val="20"/>
          <w:szCs w:val="20"/>
        </w:rPr>
        <w:t>379</w:t>
      </w:r>
      <w:r w:rsidRPr="008C65B3">
        <w:rPr>
          <w:rFonts w:ascii="Times New Roman" w:hAnsi="Times New Roman" w:cs="Times New Roman"/>
          <w:sz w:val="20"/>
          <w:szCs w:val="20"/>
        </w:rPr>
        <w:t>(9833), 2279–2290.</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Unno M, Furusyo N, Mukae H, Koga T, Eiraku K, Hayashi J.( 2012). The utility of viseral fat level by bioelectrical impedance analysis in the screening of metabolic syndrome</w:t>
      </w:r>
      <w:r w:rsidRPr="008C65B3">
        <w:rPr>
          <w:rFonts w:ascii="Times New Roman" w:hAnsi="Times New Roman" w:cs="Times New Roman"/>
          <w:i/>
          <w:iCs/>
          <w:sz w:val="20"/>
          <w:szCs w:val="20"/>
        </w:rPr>
        <w:t>. J Athreroscler Thromb</w:t>
      </w:r>
      <w:r w:rsidRPr="008C65B3">
        <w:rPr>
          <w:rFonts w:ascii="Times New Roman" w:hAnsi="Times New Roman" w:cs="Times New Roman"/>
          <w:sz w:val="20"/>
          <w:szCs w:val="20"/>
        </w:rPr>
        <w:t>. 19 : 462 – 470.</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 xml:space="preserve">Whiting DR, Guariguata L, Weil C, Shaw J. (2011). IDF Diabetes Atlas: Global. estimates of the prevalence of diabetes for 2011 and 2030. </w:t>
      </w:r>
      <w:r w:rsidRPr="008C65B3">
        <w:rPr>
          <w:rFonts w:ascii="Times New Roman" w:hAnsi="Times New Roman" w:cs="Times New Roman"/>
          <w:i/>
          <w:iCs/>
          <w:sz w:val="20"/>
          <w:szCs w:val="20"/>
        </w:rPr>
        <w:t>Diabetes Research And Clinical Practice</w:t>
      </w:r>
      <w:r w:rsidRPr="008C65B3">
        <w:rPr>
          <w:rFonts w:ascii="Times New Roman" w:hAnsi="Times New Roman" w:cs="Times New Roman"/>
          <w:sz w:val="20"/>
          <w:szCs w:val="20"/>
        </w:rPr>
        <w:t>. 94 :311–321. doi:10.1016/j.diabres10.029.</w:t>
      </w:r>
    </w:p>
    <w:p w:rsidR="001B0109" w:rsidRPr="008C65B3" w:rsidRDefault="001B0109" w:rsidP="001B0109">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8C65B3">
        <w:rPr>
          <w:rFonts w:ascii="Times New Roman" w:hAnsi="Times New Roman" w:cs="Times New Roman"/>
          <w:sz w:val="20"/>
          <w:szCs w:val="20"/>
        </w:rPr>
        <w:t>Yunir Em, Waspadji S, Rahajeng E.(2009).The Prediabetic Epidemiological Study in Depok, West Java. Acta Med Indones-Indones J Intern Med. Vol 41 No 4. 181-5</w:t>
      </w:r>
    </w:p>
    <w:p w:rsidR="001B0109" w:rsidRPr="008C65B3" w:rsidRDefault="001B0109" w:rsidP="001B0109">
      <w:pPr>
        <w:pStyle w:val="ListParagraph"/>
        <w:tabs>
          <w:tab w:val="left" w:pos="426"/>
        </w:tabs>
        <w:autoSpaceDE w:val="0"/>
        <w:autoSpaceDN w:val="0"/>
        <w:adjustRightInd w:val="0"/>
        <w:spacing w:after="0" w:line="240" w:lineRule="auto"/>
        <w:jc w:val="both"/>
        <w:rPr>
          <w:rFonts w:ascii="Times New Roman" w:hAnsi="Times New Roman" w:cs="Times New Roman"/>
          <w:sz w:val="20"/>
          <w:szCs w:val="20"/>
        </w:rPr>
      </w:pPr>
    </w:p>
    <w:p w:rsidR="001B0109" w:rsidRPr="008C65B3" w:rsidRDefault="001B0109" w:rsidP="001B0109">
      <w:pPr>
        <w:jc w:val="both"/>
        <w:rPr>
          <w:rFonts w:ascii="Times New Roman" w:hAnsi="Times New Roman" w:cs="Times New Roman"/>
          <w:sz w:val="20"/>
          <w:szCs w:val="20"/>
        </w:rPr>
      </w:pPr>
    </w:p>
    <w:p w:rsidR="001B0109" w:rsidRPr="008C65B3" w:rsidRDefault="001B0109" w:rsidP="00613FE3">
      <w:pPr>
        <w:autoSpaceDE w:val="0"/>
        <w:autoSpaceDN w:val="0"/>
        <w:adjustRightInd w:val="0"/>
        <w:spacing w:after="0" w:line="240" w:lineRule="auto"/>
        <w:jc w:val="both"/>
        <w:rPr>
          <w:rFonts w:ascii="Times New Roman" w:hAnsi="Times New Roman" w:cs="Times New Roman"/>
          <w:sz w:val="20"/>
          <w:szCs w:val="20"/>
        </w:rPr>
      </w:pPr>
    </w:p>
    <w:sectPr w:rsidR="001B0109" w:rsidRPr="008C65B3" w:rsidSect="00FC2152">
      <w:pgSz w:w="12240" w:h="15840"/>
      <w:pgMar w:top="1134" w:right="1418"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1CC" w:rsidRDefault="00CF01CC" w:rsidP="00EA3551">
      <w:pPr>
        <w:spacing w:after="0" w:line="240" w:lineRule="auto"/>
      </w:pPr>
      <w:r>
        <w:separator/>
      </w:r>
    </w:p>
  </w:endnote>
  <w:endnote w:type="continuationSeparator" w:id="1">
    <w:p w:rsidR="00CF01CC" w:rsidRDefault="00CF01CC" w:rsidP="00EA3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Italic">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1CC" w:rsidRDefault="00CF01CC" w:rsidP="00EA3551">
      <w:pPr>
        <w:spacing w:after="0" w:line="240" w:lineRule="auto"/>
      </w:pPr>
      <w:r>
        <w:separator/>
      </w:r>
    </w:p>
  </w:footnote>
  <w:footnote w:type="continuationSeparator" w:id="1">
    <w:p w:rsidR="00CF01CC" w:rsidRDefault="00CF01CC" w:rsidP="00EA3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A6185"/>
    <w:multiLevelType w:val="hybridMultilevel"/>
    <w:tmpl w:val="F83A75D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mirrorMargins/>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92B09"/>
    <w:rsid w:val="00006801"/>
    <w:rsid w:val="00017D81"/>
    <w:rsid w:val="000208AE"/>
    <w:rsid w:val="00021857"/>
    <w:rsid w:val="00036C7E"/>
    <w:rsid w:val="00063BEB"/>
    <w:rsid w:val="00073BCC"/>
    <w:rsid w:val="00077188"/>
    <w:rsid w:val="000853C1"/>
    <w:rsid w:val="000B690E"/>
    <w:rsid w:val="000D1863"/>
    <w:rsid w:val="000D192F"/>
    <w:rsid w:val="000D37F4"/>
    <w:rsid w:val="000E51DE"/>
    <w:rsid w:val="000E7534"/>
    <w:rsid w:val="001351DE"/>
    <w:rsid w:val="00154F97"/>
    <w:rsid w:val="001558D0"/>
    <w:rsid w:val="0017345D"/>
    <w:rsid w:val="00175606"/>
    <w:rsid w:val="001B0109"/>
    <w:rsid w:val="001B3183"/>
    <w:rsid w:val="001C2B38"/>
    <w:rsid w:val="001C473E"/>
    <w:rsid w:val="00203018"/>
    <w:rsid w:val="002212D2"/>
    <w:rsid w:val="00251D22"/>
    <w:rsid w:val="002546D1"/>
    <w:rsid w:val="00264314"/>
    <w:rsid w:val="00264B80"/>
    <w:rsid w:val="00273454"/>
    <w:rsid w:val="0027587E"/>
    <w:rsid w:val="00285A12"/>
    <w:rsid w:val="002A7535"/>
    <w:rsid w:val="002D6822"/>
    <w:rsid w:val="002F6918"/>
    <w:rsid w:val="002F6B70"/>
    <w:rsid w:val="003300CC"/>
    <w:rsid w:val="00360CBD"/>
    <w:rsid w:val="00367D7F"/>
    <w:rsid w:val="003774B3"/>
    <w:rsid w:val="003874E2"/>
    <w:rsid w:val="00394597"/>
    <w:rsid w:val="00396EFE"/>
    <w:rsid w:val="00397506"/>
    <w:rsid w:val="003A7610"/>
    <w:rsid w:val="003C7735"/>
    <w:rsid w:val="003E042B"/>
    <w:rsid w:val="003F50D4"/>
    <w:rsid w:val="00426C1C"/>
    <w:rsid w:val="00457894"/>
    <w:rsid w:val="00485307"/>
    <w:rsid w:val="004A3DC4"/>
    <w:rsid w:val="004C3924"/>
    <w:rsid w:val="004D3BC1"/>
    <w:rsid w:val="004D64F5"/>
    <w:rsid w:val="004E2BA3"/>
    <w:rsid w:val="0051722F"/>
    <w:rsid w:val="00564F14"/>
    <w:rsid w:val="00573AD2"/>
    <w:rsid w:val="0057495E"/>
    <w:rsid w:val="00586674"/>
    <w:rsid w:val="00586F4E"/>
    <w:rsid w:val="00587B79"/>
    <w:rsid w:val="00593FA2"/>
    <w:rsid w:val="005B2EF1"/>
    <w:rsid w:val="005E5940"/>
    <w:rsid w:val="00600CBF"/>
    <w:rsid w:val="00603DB9"/>
    <w:rsid w:val="00613FE3"/>
    <w:rsid w:val="00615A44"/>
    <w:rsid w:val="006214A6"/>
    <w:rsid w:val="00637347"/>
    <w:rsid w:val="006459F1"/>
    <w:rsid w:val="0065721C"/>
    <w:rsid w:val="006634E7"/>
    <w:rsid w:val="00676FC8"/>
    <w:rsid w:val="00696634"/>
    <w:rsid w:val="00703D95"/>
    <w:rsid w:val="00722F91"/>
    <w:rsid w:val="00723396"/>
    <w:rsid w:val="0072375D"/>
    <w:rsid w:val="00727AD9"/>
    <w:rsid w:val="007335BA"/>
    <w:rsid w:val="007739B4"/>
    <w:rsid w:val="007805DF"/>
    <w:rsid w:val="00783146"/>
    <w:rsid w:val="00783553"/>
    <w:rsid w:val="00792667"/>
    <w:rsid w:val="007D14F6"/>
    <w:rsid w:val="007E3AF4"/>
    <w:rsid w:val="00805B0E"/>
    <w:rsid w:val="00826CC5"/>
    <w:rsid w:val="008316AA"/>
    <w:rsid w:val="00837300"/>
    <w:rsid w:val="00840C10"/>
    <w:rsid w:val="008437AA"/>
    <w:rsid w:val="00845274"/>
    <w:rsid w:val="0086048A"/>
    <w:rsid w:val="00885BCE"/>
    <w:rsid w:val="008C5C26"/>
    <w:rsid w:val="008C65B3"/>
    <w:rsid w:val="008D6927"/>
    <w:rsid w:val="008E0658"/>
    <w:rsid w:val="008F0937"/>
    <w:rsid w:val="00912BD8"/>
    <w:rsid w:val="009178AE"/>
    <w:rsid w:val="009328A1"/>
    <w:rsid w:val="00941D8F"/>
    <w:rsid w:val="00951803"/>
    <w:rsid w:val="009647E7"/>
    <w:rsid w:val="00976F33"/>
    <w:rsid w:val="009878D0"/>
    <w:rsid w:val="009A095E"/>
    <w:rsid w:val="009B1C3E"/>
    <w:rsid w:val="009B223C"/>
    <w:rsid w:val="009B604E"/>
    <w:rsid w:val="009C7083"/>
    <w:rsid w:val="009E4144"/>
    <w:rsid w:val="009E63F6"/>
    <w:rsid w:val="00A60519"/>
    <w:rsid w:val="00AB37AF"/>
    <w:rsid w:val="00AC1BD8"/>
    <w:rsid w:val="00AD3D04"/>
    <w:rsid w:val="00AD53B0"/>
    <w:rsid w:val="00AE237A"/>
    <w:rsid w:val="00AF3FEC"/>
    <w:rsid w:val="00AF4668"/>
    <w:rsid w:val="00B216D0"/>
    <w:rsid w:val="00B22CDB"/>
    <w:rsid w:val="00B36E18"/>
    <w:rsid w:val="00B47BE9"/>
    <w:rsid w:val="00B53EF4"/>
    <w:rsid w:val="00B56144"/>
    <w:rsid w:val="00B739F4"/>
    <w:rsid w:val="00B85821"/>
    <w:rsid w:val="00B926C9"/>
    <w:rsid w:val="00BC0593"/>
    <w:rsid w:val="00BD0FCD"/>
    <w:rsid w:val="00BD1A4C"/>
    <w:rsid w:val="00BD36B3"/>
    <w:rsid w:val="00BD3A7F"/>
    <w:rsid w:val="00BE7C71"/>
    <w:rsid w:val="00BF1312"/>
    <w:rsid w:val="00C10452"/>
    <w:rsid w:val="00C10B77"/>
    <w:rsid w:val="00C25351"/>
    <w:rsid w:val="00C25CA5"/>
    <w:rsid w:val="00C26FD5"/>
    <w:rsid w:val="00C35715"/>
    <w:rsid w:val="00C41F1C"/>
    <w:rsid w:val="00C44B41"/>
    <w:rsid w:val="00C74982"/>
    <w:rsid w:val="00CC02AC"/>
    <w:rsid w:val="00CE2F80"/>
    <w:rsid w:val="00CF01CC"/>
    <w:rsid w:val="00CF29ED"/>
    <w:rsid w:val="00D00656"/>
    <w:rsid w:val="00D0518F"/>
    <w:rsid w:val="00D1415F"/>
    <w:rsid w:val="00D30F8A"/>
    <w:rsid w:val="00D32DFA"/>
    <w:rsid w:val="00D34A9E"/>
    <w:rsid w:val="00D455BC"/>
    <w:rsid w:val="00D61E9E"/>
    <w:rsid w:val="00D770DC"/>
    <w:rsid w:val="00D859F3"/>
    <w:rsid w:val="00DC0937"/>
    <w:rsid w:val="00DD3119"/>
    <w:rsid w:val="00DE4EBA"/>
    <w:rsid w:val="00DF1FDB"/>
    <w:rsid w:val="00E22CDE"/>
    <w:rsid w:val="00E2714E"/>
    <w:rsid w:val="00E27205"/>
    <w:rsid w:val="00E41EE7"/>
    <w:rsid w:val="00E5446C"/>
    <w:rsid w:val="00E60226"/>
    <w:rsid w:val="00E61A4E"/>
    <w:rsid w:val="00EA3551"/>
    <w:rsid w:val="00EB4583"/>
    <w:rsid w:val="00EC6807"/>
    <w:rsid w:val="00EE59B2"/>
    <w:rsid w:val="00F023D9"/>
    <w:rsid w:val="00F25712"/>
    <w:rsid w:val="00F52676"/>
    <w:rsid w:val="00F84A23"/>
    <w:rsid w:val="00F85B73"/>
    <w:rsid w:val="00F92B09"/>
    <w:rsid w:val="00FA13A2"/>
    <w:rsid w:val="00FA7E23"/>
    <w:rsid w:val="00FC2152"/>
    <w:rsid w:val="00FC2309"/>
    <w:rsid w:val="00FE4F52"/>
    <w:rsid w:val="00FF3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BC"/>
  </w:style>
  <w:style w:type="paragraph" w:styleId="Heading1">
    <w:name w:val="heading 1"/>
    <w:basedOn w:val="Normal"/>
    <w:next w:val="Normal"/>
    <w:link w:val="Heading1Char"/>
    <w:uiPriority w:val="9"/>
    <w:qFormat/>
    <w:rsid w:val="00D455B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455B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455B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455B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455B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455B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455B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455B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455B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5B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455B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455B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455B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455B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455B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455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455B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455B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455B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455B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455B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455BC"/>
    <w:rPr>
      <w:rFonts w:asciiTheme="majorHAnsi" w:eastAsiaTheme="majorEastAsia" w:hAnsiTheme="majorHAnsi" w:cstheme="majorBidi"/>
      <w:i/>
      <w:iCs/>
      <w:spacing w:val="13"/>
      <w:sz w:val="24"/>
      <w:szCs w:val="24"/>
    </w:rPr>
  </w:style>
  <w:style w:type="character" w:styleId="Strong">
    <w:name w:val="Strong"/>
    <w:uiPriority w:val="22"/>
    <w:qFormat/>
    <w:rsid w:val="00D455BC"/>
    <w:rPr>
      <w:b/>
      <w:bCs/>
    </w:rPr>
  </w:style>
  <w:style w:type="character" w:styleId="Emphasis">
    <w:name w:val="Emphasis"/>
    <w:uiPriority w:val="20"/>
    <w:qFormat/>
    <w:rsid w:val="00D455BC"/>
    <w:rPr>
      <w:b/>
      <w:bCs/>
      <w:i/>
      <w:iCs/>
      <w:spacing w:val="10"/>
      <w:bdr w:val="none" w:sz="0" w:space="0" w:color="auto"/>
      <w:shd w:val="clear" w:color="auto" w:fill="auto"/>
    </w:rPr>
  </w:style>
  <w:style w:type="paragraph" w:styleId="NoSpacing">
    <w:name w:val="No Spacing"/>
    <w:basedOn w:val="Normal"/>
    <w:uiPriority w:val="1"/>
    <w:qFormat/>
    <w:rsid w:val="00D455BC"/>
    <w:pPr>
      <w:spacing w:after="0" w:line="240" w:lineRule="auto"/>
    </w:pPr>
  </w:style>
  <w:style w:type="paragraph" w:styleId="ListParagraph">
    <w:name w:val="List Paragraph"/>
    <w:basedOn w:val="Normal"/>
    <w:uiPriority w:val="34"/>
    <w:qFormat/>
    <w:rsid w:val="00D455BC"/>
    <w:pPr>
      <w:ind w:left="720"/>
      <w:contextualSpacing/>
    </w:pPr>
  </w:style>
  <w:style w:type="paragraph" w:styleId="Quote">
    <w:name w:val="Quote"/>
    <w:basedOn w:val="Normal"/>
    <w:next w:val="Normal"/>
    <w:link w:val="QuoteChar"/>
    <w:uiPriority w:val="29"/>
    <w:qFormat/>
    <w:rsid w:val="00D455BC"/>
    <w:pPr>
      <w:spacing w:before="200" w:after="0"/>
      <w:ind w:left="360" w:right="360"/>
    </w:pPr>
    <w:rPr>
      <w:i/>
      <w:iCs/>
    </w:rPr>
  </w:style>
  <w:style w:type="character" w:customStyle="1" w:styleId="QuoteChar">
    <w:name w:val="Quote Char"/>
    <w:basedOn w:val="DefaultParagraphFont"/>
    <w:link w:val="Quote"/>
    <w:uiPriority w:val="29"/>
    <w:rsid w:val="00D455BC"/>
    <w:rPr>
      <w:i/>
      <w:iCs/>
    </w:rPr>
  </w:style>
  <w:style w:type="paragraph" w:styleId="IntenseQuote">
    <w:name w:val="Intense Quote"/>
    <w:basedOn w:val="Normal"/>
    <w:next w:val="Normal"/>
    <w:link w:val="IntenseQuoteChar"/>
    <w:uiPriority w:val="30"/>
    <w:qFormat/>
    <w:rsid w:val="00D455B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455BC"/>
    <w:rPr>
      <w:b/>
      <w:bCs/>
      <w:i/>
      <w:iCs/>
    </w:rPr>
  </w:style>
  <w:style w:type="character" w:styleId="SubtleEmphasis">
    <w:name w:val="Subtle Emphasis"/>
    <w:uiPriority w:val="19"/>
    <w:qFormat/>
    <w:rsid w:val="00D455BC"/>
    <w:rPr>
      <w:i/>
      <w:iCs/>
    </w:rPr>
  </w:style>
  <w:style w:type="character" w:styleId="IntenseEmphasis">
    <w:name w:val="Intense Emphasis"/>
    <w:uiPriority w:val="21"/>
    <w:qFormat/>
    <w:rsid w:val="00D455BC"/>
    <w:rPr>
      <w:b/>
      <w:bCs/>
    </w:rPr>
  </w:style>
  <w:style w:type="character" w:styleId="SubtleReference">
    <w:name w:val="Subtle Reference"/>
    <w:uiPriority w:val="31"/>
    <w:qFormat/>
    <w:rsid w:val="00D455BC"/>
    <w:rPr>
      <w:smallCaps/>
    </w:rPr>
  </w:style>
  <w:style w:type="character" w:styleId="IntenseReference">
    <w:name w:val="Intense Reference"/>
    <w:uiPriority w:val="32"/>
    <w:qFormat/>
    <w:rsid w:val="00D455BC"/>
    <w:rPr>
      <w:smallCaps/>
      <w:spacing w:val="5"/>
      <w:u w:val="single"/>
    </w:rPr>
  </w:style>
  <w:style w:type="character" w:styleId="BookTitle">
    <w:name w:val="Book Title"/>
    <w:uiPriority w:val="33"/>
    <w:qFormat/>
    <w:rsid w:val="00D455BC"/>
    <w:rPr>
      <w:i/>
      <w:iCs/>
      <w:smallCaps/>
      <w:spacing w:val="5"/>
    </w:rPr>
  </w:style>
  <w:style w:type="paragraph" w:styleId="TOCHeading">
    <w:name w:val="TOC Heading"/>
    <w:basedOn w:val="Heading1"/>
    <w:next w:val="Normal"/>
    <w:uiPriority w:val="39"/>
    <w:semiHidden/>
    <w:unhideWhenUsed/>
    <w:qFormat/>
    <w:rsid w:val="00D455BC"/>
    <w:pPr>
      <w:outlineLvl w:val="9"/>
    </w:pPr>
  </w:style>
  <w:style w:type="paragraph" w:styleId="HTMLPreformatted">
    <w:name w:val="HTML Preformatted"/>
    <w:basedOn w:val="Normal"/>
    <w:link w:val="HTMLPreformattedChar"/>
    <w:uiPriority w:val="99"/>
    <w:unhideWhenUsed/>
    <w:rsid w:val="005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5B2EF1"/>
    <w:rPr>
      <w:rFonts w:ascii="Courier New" w:eastAsia="Times New Roman" w:hAnsi="Courier New" w:cs="Courier New"/>
      <w:sz w:val="20"/>
      <w:szCs w:val="20"/>
      <w:lang w:bidi="ar-SA"/>
    </w:rPr>
  </w:style>
  <w:style w:type="paragraph" w:customStyle="1" w:styleId="Default">
    <w:name w:val="Default"/>
    <w:rsid w:val="00E2714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A7">
    <w:name w:val="A7"/>
    <w:uiPriority w:val="99"/>
    <w:rsid w:val="00B739F4"/>
    <w:rPr>
      <w:color w:val="000000"/>
      <w:sz w:val="23"/>
      <w:szCs w:val="23"/>
    </w:rPr>
  </w:style>
  <w:style w:type="character" w:customStyle="1" w:styleId="A6">
    <w:name w:val="A6"/>
    <w:uiPriority w:val="99"/>
    <w:rsid w:val="00B739F4"/>
    <w:rPr>
      <w:color w:val="000000"/>
      <w:sz w:val="23"/>
      <w:szCs w:val="23"/>
    </w:rPr>
  </w:style>
  <w:style w:type="table" w:styleId="TableGrid">
    <w:name w:val="Table Grid"/>
    <w:basedOn w:val="TableNormal"/>
    <w:uiPriority w:val="59"/>
    <w:rsid w:val="003A76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A7610"/>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6">
    <w:name w:val="Colorful Shading Accent 6"/>
    <w:basedOn w:val="TableNormal"/>
    <w:uiPriority w:val="71"/>
    <w:rsid w:val="004D64F5"/>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D64F5"/>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4D64F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D64F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Header">
    <w:name w:val="header"/>
    <w:basedOn w:val="Normal"/>
    <w:link w:val="HeaderChar"/>
    <w:uiPriority w:val="99"/>
    <w:semiHidden/>
    <w:unhideWhenUsed/>
    <w:rsid w:val="00EA35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3551"/>
  </w:style>
  <w:style w:type="paragraph" w:styleId="Footer">
    <w:name w:val="footer"/>
    <w:basedOn w:val="Normal"/>
    <w:link w:val="FooterChar"/>
    <w:uiPriority w:val="99"/>
    <w:semiHidden/>
    <w:unhideWhenUsed/>
    <w:rsid w:val="00EA35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3551"/>
  </w:style>
  <w:style w:type="character" w:customStyle="1" w:styleId="A12">
    <w:name w:val="A12"/>
    <w:uiPriority w:val="99"/>
    <w:rsid w:val="00DF1FDB"/>
    <w:rPr>
      <w:color w:val="000000"/>
      <w:sz w:val="23"/>
      <w:szCs w:val="23"/>
    </w:rPr>
  </w:style>
  <w:style w:type="character" w:customStyle="1" w:styleId="A13">
    <w:name w:val="A13"/>
    <w:uiPriority w:val="99"/>
    <w:rsid w:val="00CC02AC"/>
    <w:rPr>
      <w:color w:val="000000"/>
      <w:sz w:val="14"/>
      <w:szCs w:val="14"/>
    </w:rPr>
  </w:style>
  <w:style w:type="character" w:customStyle="1" w:styleId="A0">
    <w:name w:val="A0"/>
    <w:uiPriority w:val="99"/>
    <w:rsid w:val="001B0109"/>
    <w:rPr>
      <w:color w:val="000000"/>
    </w:rPr>
  </w:style>
  <w:style w:type="character" w:styleId="Hyperlink">
    <w:name w:val="Hyperlink"/>
    <w:basedOn w:val="DefaultParagraphFont"/>
    <w:uiPriority w:val="99"/>
    <w:semiHidden/>
    <w:unhideWhenUsed/>
    <w:rsid w:val="001B0109"/>
    <w:rPr>
      <w:color w:val="0000FF"/>
      <w:u w:val="single"/>
    </w:rPr>
  </w:style>
  <w:style w:type="paragraph" w:styleId="NormalWeb">
    <w:name w:val="Normal (Web)"/>
    <w:basedOn w:val="Normal"/>
    <w:uiPriority w:val="99"/>
    <w:rsid w:val="001B0109"/>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470755425">
      <w:bodyDiv w:val="1"/>
      <w:marLeft w:val="0"/>
      <w:marRight w:val="0"/>
      <w:marTop w:val="0"/>
      <w:marBottom w:val="0"/>
      <w:divBdr>
        <w:top w:val="none" w:sz="0" w:space="0" w:color="auto"/>
        <w:left w:val="none" w:sz="0" w:space="0" w:color="auto"/>
        <w:bottom w:val="none" w:sz="0" w:space="0" w:color="auto"/>
        <w:right w:val="none" w:sz="0" w:space="0" w:color="auto"/>
      </w:divBdr>
    </w:div>
    <w:div w:id="591856365">
      <w:bodyDiv w:val="1"/>
      <w:marLeft w:val="0"/>
      <w:marRight w:val="0"/>
      <w:marTop w:val="0"/>
      <w:marBottom w:val="0"/>
      <w:divBdr>
        <w:top w:val="none" w:sz="0" w:space="0" w:color="auto"/>
        <w:left w:val="none" w:sz="0" w:space="0" w:color="auto"/>
        <w:bottom w:val="none" w:sz="0" w:space="0" w:color="auto"/>
        <w:right w:val="none" w:sz="0" w:space="0" w:color="auto"/>
      </w:divBdr>
    </w:div>
    <w:div w:id="1066297801">
      <w:bodyDiv w:val="1"/>
      <w:marLeft w:val="0"/>
      <w:marRight w:val="0"/>
      <w:marTop w:val="0"/>
      <w:marBottom w:val="0"/>
      <w:divBdr>
        <w:top w:val="none" w:sz="0" w:space="0" w:color="auto"/>
        <w:left w:val="none" w:sz="0" w:space="0" w:color="auto"/>
        <w:bottom w:val="none" w:sz="0" w:space="0" w:color="auto"/>
        <w:right w:val="none" w:sz="0" w:space="0" w:color="auto"/>
      </w:divBdr>
    </w:div>
    <w:div w:id="1176581255">
      <w:bodyDiv w:val="1"/>
      <w:marLeft w:val="0"/>
      <w:marRight w:val="0"/>
      <w:marTop w:val="0"/>
      <w:marBottom w:val="0"/>
      <w:divBdr>
        <w:top w:val="none" w:sz="0" w:space="0" w:color="auto"/>
        <w:left w:val="none" w:sz="0" w:space="0" w:color="auto"/>
        <w:bottom w:val="none" w:sz="0" w:space="0" w:color="auto"/>
        <w:right w:val="none" w:sz="0" w:space="0" w:color="auto"/>
      </w:divBdr>
    </w:div>
    <w:div w:id="149116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9/apnm-2012-0201" TargetMode="External"/><Relationship Id="rId13" Type="http://schemas.openxmlformats.org/officeDocument/2006/relationships/hyperlink" Target="https://care.diabetesjournals.org/" TargetMode="External"/><Relationship Id="rId3" Type="http://schemas.openxmlformats.org/officeDocument/2006/relationships/settings" Target="settings.xml"/><Relationship Id="rId7" Type="http://schemas.openxmlformats.org/officeDocument/2006/relationships/hyperlink" Target="https://care.diabetesjournals.org/" TargetMode="External"/><Relationship Id="rId12" Type="http://schemas.openxmlformats.org/officeDocument/2006/relationships/hyperlink" Target="https://doi.org/10.1093/eurheartj/ehl2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diabetesjournal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re.diabetesjournals.org/" TargetMode="External"/><Relationship Id="rId4" Type="http://schemas.openxmlformats.org/officeDocument/2006/relationships/webSettings" Target="webSettings.xml"/><Relationship Id="rId9" Type="http://schemas.openxmlformats.org/officeDocument/2006/relationships/hyperlink" Target="https://care.diabetesjournal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2560</TotalTime>
  <Pages>10</Pages>
  <Words>4916</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2019-07-27T06:45:00Z</dcterms:created>
  <dcterms:modified xsi:type="dcterms:W3CDTF">2019-08-26T08:18:00Z</dcterms:modified>
</cp:coreProperties>
</file>